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D7FD0" w14:textId="77777777" w:rsidR="00521B41" w:rsidRDefault="00D532A8">
      <w:pPr>
        <w:pStyle w:val="Heading1"/>
      </w:pPr>
      <w:r>
        <w:t>Programme Profile &amp; Executive Summary</w:t>
      </w:r>
    </w:p>
    <w:p w14:paraId="595D196A" w14:textId="77777777" w:rsidR="00521B41" w:rsidRDefault="00D532A8">
      <w:pPr>
        <w:pStyle w:val="Heading3"/>
      </w:pPr>
      <w:r>
        <w:t>1. Select your UN Country Team/MCO of Joint Programme</w:t>
      </w:r>
    </w:p>
    <w:p w14:paraId="63A4E2F4" w14:textId="77777777" w:rsidR="00521B41" w:rsidRDefault="00D532A8">
      <w:pPr>
        <w:spacing w:after="80"/>
      </w:pPr>
      <w:r>
        <w:t>Antigua and Barbuda, and St. Lucia</w:t>
      </w:r>
    </w:p>
    <w:p w14:paraId="69D5D50E" w14:textId="77777777" w:rsidR="00521B41" w:rsidRDefault="00D532A8">
      <w:pPr>
        <w:pStyle w:val="Heading3"/>
      </w:pPr>
      <w:r>
        <w:t>2. Please enter the official start date of the joint programme</w:t>
      </w:r>
    </w:p>
    <w:p w14:paraId="4B5B79FD" w14:textId="77777777" w:rsidR="00521B41" w:rsidRDefault="00D532A8">
      <w:pPr>
        <w:spacing w:after="80"/>
      </w:pPr>
      <w:r>
        <w:t>2/8/2024</w:t>
      </w:r>
    </w:p>
    <w:p w14:paraId="0F63BB13" w14:textId="77777777" w:rsidR="00521B41" w:rsidRDefault="00D532A8">
      <w:pPr>
        <w:pStyle w:val="Heading3"/>
      </w:pPr>
      <w:r>
        <w:t>3. Please enter the official end date of the joint programme</w:t>
      </w:r>
    </w:p>
    <w:p w14:paraId="000C8B6B" w14:textId="77777777" w:rsidR="00521B41" w:rsidRDefault="00D532A8">
      <w:pPr>
        <w:spacing w:after="80"/>
      </w:pPr>
      <w:r>
        <w:t>2/7/2026</w:t>
      </w:r>
    </w:p>
    <w:p w14:paraId="7C4D2E3B" w14:textId="77777777" w:rsidR="00521B41" w:rsidRDefault="00D532A8">
      <w:pPr>
        <w:pStyle w:val="Heading3"/>
      </w:pPr>
      <w:r>
        <w:t>4. Have agencies operationally closed the joint programme in the system?</w:t>
      </w:r>
    </w:p>
    <w:p w14:paraId="32F25C05" w14:textId="18911A75" w:rsidR="00470FF2" w:rsidRPr="00560083" w:rsidRDefault="00C91B62" w:rsidP="00470FF2">
      <w:pPr>
        <w:rPr>
          <w:highlight w:val="yellow"/>
        </w:rPr>
      </w:pPr>
      <w:r w:rsidRPr="00560083">
        <w:rPr>
          <w:highlight w:val="yellow"/>
        </w:rPr>
        <w:t xml:space="preserve">UNDP </w:t>
      </w:r>
      <w:r w:rsidR="00470FF2" w:rsidRPr="00560083">
        <w:rPr>
          <w:highlight w:val="yellow"/>
        </w:rPr>
        <w:t>–</w:t>
      </w:r>
      <w:r w:rsidRPr="00560083">
        <w:rPr>
          <w:highlight w:val="yellow"/>
        </w:rPr>
        <w:t xml:space="preserve"> </w:t>
      </w:r>
      <w:r w:rsidR="00560083" w:rsidRPr="00560083">
        <w:rPr>
          <w:highlight w:val="yellow"/>
        </w:rPr>
        <w:t>No</w:t>
      </w:r>
      <w:r w:rsidR="00560083">
        <w:rPr>
          <w:highlight w:val="yellow"/>
        </w:rPr>
        <w:t xml:space="preserve"> *</w:t>
      </w:r>
      <w:r w:rsidR="00560083" w:rsidRPr="00560083">
        <w:rPr>
          <w:highlight w:val="yellow"/>
        </w:rPr>
        <w:t xml:space="preserve"> (final evaluation p</w:t>
      </w:r>
      <w:r w:rsidR="00560083">
        <w:rPr>
          <w:highlight w:val="yellow"/>
        </w:rPr>
        <w:t>ayments are pending)</w:t>
      </w:r>
    </w:p>
    <w:p w14:paraId="73B76105" w14:textId="4B5D5552" w:rsidR="00470FF2" w:rsidRPr="00560083" w:rsidRDefault="00470FF2" w:rsidP="00470FF2">
      <w:pPr>
        <w:rPr>
          <w:highlight w:val="yellow"/>
        </w:rPr>
      </w:pPr>
      <w:r w:rsidRPr="00560083">
        <w:rPr>
          <w:highlight w:val="yellow"/>
        </w:rPr>
        <w:t>ITU</w:t>
      </w:r>
    </w:p>
    <w:p w14:paraId="2BE93887" w14:textId="6D6084DE" w:rsidR="00470FF2" w:rsidRDefault="00470FF2" w:rsidP="00470FF2">
      <w:r w:rsidRPr="0083103C">
        <w:rPr>
          <w:highlight w:val="yellow"/>
        </w:rPr>
        <w:t>UN Women</w:t>
      </w:r>
      <w:r>
        <w:t xml:space="preserve"> </w:t>
      </w:r>
    </w:p>
    <w:p w14:paraId="714B212F" w14:textId="02EC0116" w:rsidR="00521B41" w:rsidRDefault="00D532A8" w:rsidP="00470FF2">
      <w:r>
        <w:rPr>
          <w:b/>
        </w:rPr>
        <w:t>5. Expected financial closure date</w:t>
      </w:r>
    </w:p>
    <w:p w14:paraId="6A4509C6" w14:textId="77777777" w:rsidR="00521B41" w:rsidRDefault="00D532A8">
      <w:pPr>
        <w:spacing w:after="80"/>
      </w:pPr>
      <w:r>
        <w:t>31/12/2026</w:t>
      </w:r>
    </w:p>
    <w:p w14:paraId="7594DAF3" w14:textId="77777777" w:rsidR="00521B41" w:rsidRDefault="00D532A8">
      <w:pPr>
        <w:pStyle w:val="Heading3"/>
      </w:pPr>
      <w:r>
        <w:t>6. Please enter the RC's name and email</w:t>
      </w:r>
    </w:p>
    <w:p w14:paraId="6AA09D4D" w14:textId="77777777" w:rsidR="00521B41" w:rsidRDefault="00D532A8">
      <w:pPr>
        <w:spacing w:after="80"/>
      </w:pPr>
      <w:r>
        <w:t>Simon Springett</w:t>
      </w:r>
    </w:p>
    <w:p w14:paraId="2EBF8B16" w14:textId="77777777" w:rsidR="00521B41" w:rsidRDefault="00D532A8">
      <w:pPr>
        <w:spacing w:after="80"/>
      </w:pPr>
      <w:r>
        <w:t>simon.springett@un.org</w:t>
      </w:r>
    </w:p>
    <w:p w14:paraId="054784FE" w14:textId="77777777" w:rsidR="00521B41" w:rsidRDefault="00D532A8">
      <w:pPr>
        <w:pStyle w:val="Heading3"/>
      </w:pPr>
      <w:r>
        <w:t>7. Please enter the Government focal point name, email and ministry/agency</w:t>
      </w:r>
    </w:p>
    <w:p w14:paraId="6E021B7E" w14:textId="77777777" w:rsidR="00FE5688" w:rsidRDefault="00FE5688" w:rsidP="00FE5688">
      <w:pPr>
        <w:pStyle w:val="ListParagraph"/>
        <w:numPr>
          <w:ilvl w:val="0"/>
          <w:numId w:val="10"/>
        </w:numPr>
        <w:spacing w:before="120" w:after="120" w:line="240" w:lineRule="auto"/>
        <w:ind w:left="426"/>
        <w:rPr>
          <w:rFonts w:ascii="Verdana" w:hAnsi="Verdana" w:cstheme="minorHAnsi"/>
          <w:szCs w:val="20"/>
          <w:lang w:val="en-GB" w:eastAsia="en-GB"/>
        </w:rPr>
      </w:pPr>
      <w:r w:rsidRPr="00D741FB">
        <w:rPr>
          <w:rFonts w:ascii="Verdana" w:hAnsi="Verdana" w:cstheme="minorHAnsi"/>
          <w:szCs w:val="20"/>
          <w:lang w:val="en-GB" w:eastAsia="en-GB"/>
        </w:rPr>
        <w:t xml:space="preserve">Office of the Prime Minister (Ministry of Finance, Corporate Governance &amp; Public Private Partnerships); Faustina Joseph,; Permanent Secretary; faustina.Joseph@ab.gov.ag; 1 (268) 462-2922 </w:t>
      </w:r>
    </w:p>
    <w:p w14:paraId="4979DA89" w14:textId="52D48820" w:rsidR="00522A8D" w:rsidRPr="00522A8D" w:rsidRDefault="00522A8D" w:rsidP="00522A8D">
      <w:pPr>
        <w:pStyle w:val="ListParagraph"/>
        <w:numPr>
          <w:ilvl w:val="0"/>
          <w:numId w:val="10"/>
        </w:numPr>
        <w:tabs>
          <w:tab w:val="left" w:pos="720"/>
          <w:tab w:val="left" w:pos="1200"/>
        </w:tabs>
        <w:spacing w:after="0" w:line="240" w:lineRule="auto"/>
        <w:rPr>
          <w:rFonts w:ascii="Verdana" w:hAnsi="Verdana"/>
          <w:szCs w:val="20"/>
        </w:rPr>
      </w:pPr>
      <w:r w:rsidRPr="00E4020A">
        <w:rPr>
          <w:rFonts w:ascii="Verdana" w:hAnsi="Verdana"/>
          <w:szCs w:val="20"/>
        </w:rPr>
        <w:t xml:space="preserve">Prime Minister and </w:t>
      </w:r>
      <w:r w:rsidRPr="00E4020A">
        <w:rPr>
          <w:rFonts w:ascii="Verdana" w:hAnsi="Verdana"/>
          <w:szCs w:val="20"/>
          <w:shd w:val="clear" w:color="auto" w:fill="FFFFFF"/>
        </w:rPr>
        <w:t xml:space="preserve">Minister for Finance, Economic Development and Youth Economy; </w:t>
      </w:r>
      <w:r w:rsidRPr="00E4020A">
        <w:rPr>
          <w:rFonts w:ascii="Verdana" w:hAnsi="Verdana"/>
          <w:szCs w:val="20"/>
        </w:rPr>
        <w:t xml:space="preserve">The Honourable Philip J. Pierre; </w:t>
      </w:r>
      <w:hyperlink r:id="rId8" w:history="1">
        <w:r w:rsidRPr="00E4020A">
          <w:rPr>
            <w:rStyle w:val="Hyperlink"/>
            <w:rFonts w:ascii="Verdana" w:hAnsi="Verdana"/>
            <w:color w:val="auto"/>
            <w:szCs w:val="20"/>
          </w:rPr>
          <w:t>pm.sec@govt.lc</w:t>
        </w:r>
      </w:hyperlink>
      <w:r w:rsidRPr="00E4020A">
        <w:rPr>
          <w:rFonts w:ascii="Verdana" w:hAnsi="Verdana"/>
          <w:szCs w:val="20"/>
        </w:rPr>
        <w:t xml:space="preserve"> /; 758-468-2184.</w:t>
      </w:r>
    </w:p>
    <w:p w14:paraId="24D8591F" w14:textId="77777777" w:rsidR="00433989" w:rsidRPr="00FE5688" w:rsidRDefault="00433989" w:rsidP="00433989">
      <w:pPr>
        <w:rPr>
          <w:lang w:val="en-GB"/>
        </w:rPr>
      </w:pPr>
    </w:p>
    <w:p w14:paraId="4737B596" w14:textId="77777777" w:rsidR="00521B41" w:rsidRDefault="00D532A8">
      <w:pPr>
        <w:pStyle w:val="Heading3"/>
      </w:pPr>
      <w:r>
        <w:t>8. Name and email of RCO focal point</w:t>
      </w:r>
    </w:p>
    <w:p w14:paraId="3F3E07D8" w14:textId="77777777" w:rsidR="00521B41" w:rsidRPr="00A44CA5" w:rsidRDefault="00D532A8">
      <w:pPr>
        <w:spacing w:after="80"/>
        <w:rPr>
          <w:lang w:val="pt-BR"/>
        </w:rPr>
      </w:pPr>
      <w:r w:rsidRPr="00A44CA5">
        <w:rPr>
          <w:lang w:val="pt-BR"/>
        </w:rPr>
        <w:t>Uzumma Erume, Economist - RCO, Erume@un.org</w:t>
      </w:r>
    </w:p>
    <w:p w14:paraId="49BFC6D4" w14:textId="77777777" w:rsidR="00521B41" w:rsidRDefault="00D532A8">
      <w:pPr>
        <w:spacing w:after="80"/>
      </w:pPr>
      <w:r>
        <w:t>Andrea Andrew, Country Coordination Officer, andrea.andrew@un.org</w:t>
      </w:r>
    </w:p>
    <w:p w14:paraId="5D3B994B" w14:textId="77777777" w:rsidR="00521B41" w:rsidRDefault="00D532A8">
      <w:pPr>
        <w:pStyle w:val="Heading3"/>
      </w:pPr>
      <w:r>
        <w:t>9. Name and email of lead PUNO focal point</w:t>
      </w:r>
    </w:p>
    <w:p w14:paraId="5274A9C3" w14:textId="77777777" w:rsidR="00521B41" w:rsidRDefault="00D532A8">
      <w:pPr>
        <w:spacing w:after="80"/>
      </w:pPr>
      <w:r>
        <w:t>Jason LaCorbiniere</w:t>
      </w:r>
    </w:p>
    <w:p w14:paraId="60A17DAC" w14:textId="77777777" w:rsidR="00521B41" w:rsidRDefault="00D532A8">
      <w:pPr>
        <w:spacing w:after="80"/>
      </w:pPr>
      <w:r>
        <w:t>Cluster Manager, Poverty, Governance and Monitoring and Evaluation</w:t>
      </w:r>
    </w:p>
    <w:p w14:paraId="2E5F158A" w14:textId="77777777" w:rsidR="00521B41" w:rsidRDefault="00D532A8">
      <w:pPr>
        <w:spacing w:after="80"/>
      </w:pPr>
      <w:r>
        <w:t>United Nations Development Programme</w:t>
      </w:r>
    </w:p>
    <w:p w14:paraId="10CA11BF" w14:textId="77777777" w:rsidR="00521B41" w:rsidRDefault="00D532A8">
      <w:pPr>
        <w:spacing w:after="80"/>
      </w:pPr>
      <w:r>
        <w:t>jason.lacorbiniere@undp.org</w:t>
      </w:r>
    </w:p>
    <w:p w14:paraId="33179239" w14:textId="77777777" w:rsidR="00521B41" w:rsidRDefault="00D532A8">
      <w:pPr>
        <w:pStyle w:val="Heading3"/>
      </w:pPr>
      <w:r>
        <w:t>10. Other PUNO focal points names and emails</w:t>
      </w:r>
    </w:p>
    <w:p w14:paraId="2A515346" w14:textId="77777777" w:rsidR="00521B41" w:rsidRDefault="00D532A8">
      <w:pPr>
        <w:spacing w:after="80"/>
      </w:pPr>
      <w:r>
        <w:t>Isiuwa Iyahen, UN Women, isiuwa.iyahen@unwomen.org</w:t>
      </w:r>
    </w:p>
    <w:p w14:paraId="0CF4719C" w14:textId="77777777" w:rsidR="00521B41" w:rsidRDefault="00D532A8">
      <w:pPr>
        <w:spacing w:after="80"/>
      </w:pPr>
      <w:r>
        <w:t>Cleveland Thomas, International Telecommunications Union, cleveland.thomas@itu.int</w:t>
      </w:r>
    </w:p>
    <w:p w14:paraId="18B72499" w14:textId="77777777" w:rsidR="00521B41" w:rsidRDefault="00D532A8">
      <w:pPr>
        <w:pStyle w:val="Heading3"/>
      </w:pPr>
      <w:r>
        <w:lastRenderedPageBreak/>
        <w:t>11. Please enter the Joint SDG Fund's contribution amount (as per the Programme Document, without co-funding)</w:t>
      </w:r>
    </w:p>
    <w:p w14:paraId="4503BA87" w14:textId="3851CDD3" w:rsidR="00521B41" w:rsidRDefault="00D532A8">
      <w:pPr>
        <w:spacing w:after="80"/>
      </w:pPr>
      <w:r>
        <w:t>1</w:t>
      </w:r>
      <w:r w:rsidR="00D121DD">
        <w:t>,</w:t>
      </w:r>
      <w:r>
        <w:t>369</w:t>
      </w:r>
      <w:r w:rsidR="00D121DD">
        <w:t>,</w:t>
      </w:r>
      <w:r>
        <w:t>939</w:t>
      </w:r>
    </w:p>
    <w:p w14:paraId="3B17A8AE" w14:textId="77777777" w:rsidR="00521B41" w:rsidRDefault="00D532A8">
      <w:pPr>
        <w:pStyle w:val="Heading3"/>
      </w:pPr>
      <w:r>
        <w:t>12. PUNOs co-funding and other contributions as applicable</w:t>
      </w:r>
    </w:p>
    <w:p w14:paraId="15AEFAAC" w14:textId="77777777" w:rsidR="00521B41" w:rsidRDefault="00D532A8">
      <w:pPr>
        <w:spacing w:after="80"/>
      </w:pPr>
      <w:r>
        <w:t>USD 50,000 total planned/applicable PUNO co-funding and other contributions reflected in the source report: UNDP USD 20,000; UN Women USD 15,000; ITU USD 15,000. The financial table also records USD 15,000 as additional ITU co-financing mobilized beyond ProDoc expectation.</w:t>
      </w:r>
    </w:p>
    <w:p w14:paraId="74D35BB1" w14:textId="77777777" w:rsidR="00521B41" w:rsidRDefault="00D532A8">
      <w:pPr>
        <w:pStyle w:val="Heading3"/>
      </w:pPr>
      <w:r>
        <w:t>13. Executive Summary (up to 500 words)</w:t>
      </w:r>
    </w:p>
    <w:p w14:paraId="6B7192E1" w14:textId="77777777" w:rsidR="00521B41" w:rsidRDefault="00D532A8">
      <w:pPr>
        <w:spacing w:after="80"/>
      </w:pPr>
      <w:r>
        <w:t>The Joint Programme (JP), Optimizing innovative finance for underserved groups to build resilience and accelerate the achievement of the SDGs in Antigua and Barbuda and St. Lucia, contributed to the Cooperation Framework outcome on addressing economic vulnerabilities, capitalizing on opportunities and boosting productivity through innovation and digitalization. The JP created an evidence base for inclusive finance by completing six assessments: four diagnostics on barriers to women and youth access to finance and two digital financial asset legislative gap analyses. These analyses identified high interest costs, short amortization periods, limited financial literacy, gender-related informal barriers, weak digital-finance governance and consumer data safety concerns as key constraints.</w:t>
      </w:r>
    </w:p>
    <w:p w14:paraId="7F1CAC0F" w14:textId="77777777" w:rsidR="00521B41" w:rsidRDefault="00D532A8">
      <w:pPr>
        <w:spacing w:after="80"/>
      </w:pPr>
      <w:r>
        <w:t>The JP translated this evidence into co-designed solutions with financial institutions, government entities, MSMEs and business development stakeholders. It established a USD 125,000 pilot facility and implemented one blended finance pilot in Antigua and Barbuda with the Entrepreneurial Development Programme and Union Bank. The pilot used a 30 percent grant and 70 percent repayable grant structure and supported 21 MSMEs, demonstrating a practical mechanism to reduce repayment pressure and derisk finance while retaining the possibility of recycling capital.</w:t>
      </w:r>
    </w:p>
    <w:p w14:paraId="0A01B210" w14:textId="77777777" w:rsidR="00521B41" w:rsidRDefault="00D532A8">
      <w:pPr>
        <w:spacing w:after="80"/>
      </w:pPr>
      <w:r>
        <w:t>The programme strengthened capacities among MSMEs, financial institutions and ecosystem actors. Sixty-six MSMEs and financial institutions were trained in digital financial literacy and gender-responsive business practices, including more than 40 women entrepreneurs, and 30 individuals reported enhanced capacity following digital finance security training. The JP also supported Digital Financial Services policy, legal and regulatory assessments, draft recommendations, National DFS Security Task Forces, model inter-regulatory memoranda of understanding, international DFS security standards and DFS Security Labs.</w:t>
      </w:r>
    </w:p>
    <w:p w14:paraId="7E18D7F7" w14:textId="77777777" w:rsidR="00521B41" w:rsidRDefault="00D532A8">
      <w:pPr>
        <w:spacing w:after="80"/>
      </w:pPr>
      <w:r>
        <w:t>While compressed implementation timelines and partner-capacity constraints limited full delivery of all pilots, especially in Saint Lucia, the JP left behind tested models, strengthened institutions, reusable knowledge products and partnerships with UNDP, UN Women, ITU, national ministries, regulators, financial institutions, ECCB, the World Bank and civil society. These assets provide a credible foundation for scale-up, including additional pilots, formal adoption of policy and regulatory reforms and further resource mobilization for inclusive MSME finance and digital finance security.</w:t>
      </w:r>
    </w:p>
    <w:p w14:paraId="1A221BDD" w14:textId="77777777" w:rsidR="00521B41" w:rsidRDefault="00D532A8">
      <w:pPr>
        <w:pStyle w:val="Heading1"/>
      </w:pPr>
      <w:r>
        <w:t>Results Section</w:t>
      </w:r>
    </w:p>
    <w:p w14:paraId="2993ADF3" w14:textId="77777777" w:rsidR="00521B41" w:rsidRDefault="00D532A8">
      <w:pPr>
        <w:pStyle w:val="Heading3"/>
      </w:pPr>
      <w:r>
        <w:t>14. Engine room actions</w:t>
      </w:r>
    </w:p>
    <w:p w14:paraId="218513C1" w14:textId="77777777" w:rsidR="00521B41" w:rsidRDefault="00D532A8">
      <w:r>
        <w:rPr>
          <w:b/>
        </w:rPr>
        <w:t>Selected response:</w:t>
      </w:r>
    </w:p>
    <w:p w14:paraId="095389BD" w14:textId="77777777" w:rsidR="00521B41" w:rsidRDefault="00D532A8">
      <w:pPr>
        <w:ind w:left="360"/>
      </w:pPr>
      <w:r>
        <w:t>[x] Shift in policy and regulatory frameworks</w:t>
      </w:r>
    </w:p>
    <w:p w14:paraId="64D7DB18" w14:textId="77777777" w:rsidR="00521B41" w:rsidRDefault="00D532A8">
      <w:pPr>
        <w:ind w:left="360"/>
      </w:pPr>
      <w:r>
        <w:t>[x] Devising a market-ready pipeline</w:t>
      </w:r>
    </w:p>
    <w:p w14:paraId="47FD13D7" w14:textId="77777777" w:rsidR="00521B41" w:rsidRDefault="00D532A8">
      <w:pPr>
        <w:ind w:left="360"/>
      </w:pPr>
      <w:r>
        <w:t>[x] Developing the deal room (financing mix)</w:t>
      </w:r>
    </w:p>
    <w:p w14:paraId="52EEFD11" w14:textId="77777777" w:rsidR="00521B41" w:rsidRDefault="00D532A8">
      <w:pPr>
        <w:ind w:left="360"/>
      </w:pPr>
      <w:r>
        <w:t>[x] Building capacity at scale</w:t>
      </w:r>
    </w:p>
    <w:p w14:paraId="356F4679" w14:textId="77777777" w:rsidR="00521B41" w:rsidRDefault="00D532A8">
      <w:pPr>
        <w:pStyle w:val="Heading3"/>
      </w:pPr>
      <w:r>
        <w:lastRenderedPageBreak/>
        <w:t>15. Overall progress against key results (up to 600 words)</w:t>
      </w:r>
    </w:p>
    <w:p w14:paraId="08EF6CDF" w14:textId="77777777" w:rsidR="00521B41" w:rsidRDefault="00D532A8">
      <w:pPr>
        <w:spacing w:after="80"/>
      </w:pPr>
      <w:r>
        <w:t>The JP achieved substantial progress against its expected results, with strongest performance in diagnostics, evidence generation, stakeholder engagement, capacity-building and policy/regulatory analysis. Through diagnostics and solution mapping, it produced a practical evidence base on the financing barriers affecting women- and youth-owned MSMEs in Antigua and Barbuda and Saint Lucia. Six assessments were completed, including four diagnostics on barriers to women and youth access to finance and two digital financial asset legislative gap analyses. This directly supported the Cooperation Framework outcome that economic vulnerabilities and opportunities are addressed and capitalized on, and productivity is boosted through innovation and digitalization.</w:t>
      </w:r>
    </w:p>
    <w:p w14:paraId="6430637A" w14:textId="77777777" w:rsidR="00521B41" w:rsidRDefault="00D532A8">
      <w:pPr>
        <w:spacing w:after="80"/>
      </w:pPr>
      <w:r>
        <w:t>The JP used this evidence to convene consultations and workshops with financial institutions, government entities, MSMEs and business development stakeholders. These engagements helped ensure that the design of innovative finance products, capacity-building interventions and policy recommendations was rooted in national realities. Private-sector engagement was strong, with 95 percent of participants acknowledging the value of consultations and workshops.</w:t>
      </w:r>
    </w:p>
    <w:p w14:paraId="2F652F90" w14:textId="77777777" w:rsidR="00521B41" w:rsidRDefault="00D532A8">
      <w:pPr>
        <w:spacing w:after="80"/>
      </w:pPr>
      <w:r>
        <w:t>Under the innovative finance component, the JP established a USD 125,000 pilot facility and implemented one blended finance pilot in Antigua and Barbuda through partnerships with the Entrepreneurial Development Programme and Union Bank. The pilot provided financing to 21 MSMEs using a 30 percent grant and 70 percent repayable grant structure. This demonstrated a viable mechanism to reduce MSME repayment pressure, lower perceived risk and strengthen the potential for revolving or recyclable capital. The planned Saint Lucia pilot was not completed because of partner capacity constraints and limited time to identify and operationalize an alternative.</w:t>
      </w:r>
    </w:p>
    <w:p w14:paraId="57DE84E6" w14:textId="77777777" w:rsidR="00521B41" w:rsidRDefault="00D532A8">
      <w:pPr>
        <w:spacing w:after="80"/>
      </w:pPr>
      <w:r>
        <w:t>The JP strengthened capacity among key actors. Sixty-six MSMEs and financial institutions were trained in digital financial literacy and gender-responsive business practices, including more than 40 women entrepreneurs. Inclusive finance and Gender Lens Investing sessions engaged major commercial banks and other financial institutions, while national forums on business partnerships for gender equality promoted the Women's Empowerment Principles.</w:t>
      </w:r>
    </w:p>
    <w:p w14:paraId="0E9D4060" w14:textId="77777777" w:rsidR="00521B41" w:rsidRDefault="00D532A8">
      <w:pPr>
        <w:spacing w:after="80"/>
      </w:pPr>
      <w:r>
        <w:t>At the enabling-environment level, the JP completed Digital Financial Services policy, legal and regulatory assessments in both countries and produced draft legislative and regulatory recommendations. It also established National DFS Security Task Forces, advanced a model memorandum of understanding between telecom and financial regulators, promoted international DFS security standards and supported DFS Security Labs to undertake technical verification and security audits. These activities improved UN coherence through collaboration among UNDP, UN Women, ITU and the RCO, while partnerships with government institutions, regulators, ECCB, the World Bank, financial institutions and civil society created pathways for continuation. The source report does not evidence changes to national budgets or development aid allocations as a result of the JP, but it does evidence a practical financing pilot, strengthened regulatory foundations and increased ecosystem readiness for scale-up.</w:t>
      </w:r>
    </w:p>
    <w:p w14:paraId="41BB6E07" w14:textId="77777777" w:rsidR="00521B41" w:rsidRDefault="00D532A8">
      <w:pPr>
        <w:pStyle w:val="Heading3"/>
      </w:pPr>
      <w:r>
        <w:t>16. Did your JP contribute to the following thematic SDG transitions? Select all relevant.</w:t>
      </w:r>
    </w:p>
    <w:p w14:paraId="4E78E380" w14:textId="77777777" w:rsidR="00521B41" w:rsidRDefault="00D532A8">
      <w:r>
        <w:rPr>
          <w:b/>
        </w:rPr>
        <w:t>Selected response:</w:t>
      </w:r>
    </w:p>
    <w:p w14:paraId="0EBC80FE" w14:textId="77777777" w:rsidR="00521B41" w:rsidRDefault="00D532A8">
      <w:pPr>
        <w:ind w:left="360"/>
      </w:pPr>
      <w:r>
        <w:t>[ ] Food systems transformation</w:t>
      </w:r>
    </w:p>
    <w:p w14:paraId="70AD3B6E" w14:textId="77777777" w:rsidR="00521B41" w:rsidRDefault="00D532A8">
      <w:pPr>
        <w:ind w:left="360"/>
      </w:pPr>
      <w:r>
        <w:t>[ ] Energy transitions</w:t>
      </w:r>
    </w:p>
    <w:p w14:paraId="40CDDCC7" w14:textId="77777777" w:rsidR="00521B41" w:rsidRDefault="00D532A8">
      <w:pPr>
        <w:ind w:left="360"/>
      </w:pPr>
      <w:r>
        <w:t>[x] Digital transformation</w:t>
      </w:r>
    </w:p>
    <w:p w14:paraId="349B94D6" w14:textId="77777777" w:rsidR="00521B41" w:rsidRDefault="00D532A8">
      <w:pPr>
        <w:ind w:left="360"/>
      </w:pPr>
      <w:r>
        <w:t>[x] Decent jobs &amp; universal social protection</w:t>
      </w:r>
    </w:p>
    <w:p w14:paraId="4FA9A7B7" w14:textId="77777777" w:rsidR="00521B41" w:rsidRDefault="00D532A8">
      <w:pPr>
        <w:ind w:left="360"/>
      </w:pPr>
      <w:r>
        <w:t>[x] Transforming education</w:t>
      </w:r>
    </w:p>
    <w:p w14:paraId="3A93E661" w14:textId="77777777" w:rsidR="00521B41" w:rsidRDefault="00D532A8">
      <w:pPr>
        <w:ind w:left="360"/>
      </w:pPr>
      <w:r>
        <w:t>[ ] Climate change, biodiversity loss and pollution</w:t>
      </w:r>
    </w:p>
    <w:p w14:paraId="56F9FB57" w14:textId="77777777" w:rsidR="00521B41" w:rsidRDefault="00D532A8">
      <w:pPr>
        <w:pStyle w:val="Heading3"/>
      </w:pPr>
      <w:r>
        <w:t>17. Accelerating SDG transitions (up to 600 words)</w:t>
      </w:r>
    </w:p>
    <w:p w14:paraId="4F2C2C38" w14:textId="77777777" w:rsidR="00521B41" w:rsidRDefault="00D532A8">
      <w:pPr>
        <w:pStyle w:val="ListBullet"/>
      </w:pPr>
      <w:r>
        <w:t xml:space="preserve">Digital transformation: The JP advanced digital finance governance by completing digital financial asset legislative gap analyses in both countries, developing draft legal and regulatory recommendations, establishing National DFS Security Task Forces, promoting international DFS security standards and supporting DFS </w:t>
      </w:r>
      <w:r>
        <w:lastRenderedPageBreak/>
        <w:t>Security Labs. These actions improved policy integration and institutional readiness for safer digital financial services.</w:t>
      </w:r>
    </w:p>
    <w:p w14:paraId="6CA94498" w14:textId="77777777" w:rsidR="00521B41" w:rsidRDefault="00D532A8">
      <w:pPr>
        <w:pStyle w:val="ListBullet"/>
      </w:pPr>
      <w:r>
        <w:t>Decent jobs and universal social protection: The JP supported women- and youth-owned MSMEs by diagnosing access-to-finance constraints, training entrepreneurs and financial institutions, and piloting a blended finance model that reached 21 MSMEs. This contributed to the conditions for enterprise development, resilience and job creation.</w:t>
      </w:r>
    </w:p>
    <w:p w14:paraId="34B97CC5" w14:textId="77777777" w:rsidR="00521B41" w:rsidRDefault="00D532A8">
      <w:pPr>
        <w:pStyle w:val="ListBullet"/>
      </w:pPr>
      <w:r>
        <w:t>Transforming education / skills: The JP strengthened practical skills in digital financial literacy, business planning, e-money, digital marketing and gender-responsive business practices. Sixty-six MSMEs and financial institutions were trained, including more than 40 women entrepreneurs, and 30 individuals reported enhanced capacity following digital finance security training.</w:t>
      </w:r>
    </w:p>
    <w:p w14:paraId="4AF46DA7" w14:textId="77777777" w:rsidR="00521B41" w:rsidRDefault="00D532A8">
      <w:pPr>
        <w:pStyle w:val="ListBullet"/>
      </w:pPr>
      <w:r>
        <w:t>Integration and speed: The JP brought together government, regulators, financial institutions, MSMEs, civil society and UN entities around shared evidence and co-designed solutions. This accelerated movement from diagnostics to practical pilot implementation and policy recommendations.</w:t>
      </w:r>
    </w:p>
    <w:p w14:paraId="1E1F8293" w14:textId="77777777" w:rsidR="00521B41" w:rsidRDefault="00D532A8">
      <w:pPr>
        <w:pStyle w:val="ListBullet"/>
      </w:pPr>
      <w:r>
        <w:t>Scale and sustainability: The 30:70 grant/repayable grant pilot provided a reusable model for derisking MSME finance while preserving the potential to recycle capital. National DFS Security Task Forces, model inter-regulatory arrangements, reusable training content and partnerships with ECCB, the World Bank and commercial banks create a basis for replication.</w:t>
      </w:r>
    </w:p>
    <w:p w14:paraId="39E11240" w14:textId="77777777" w:rsidR="00521B41" w:rsidRDefault="00D532A8">
      <w:pPr>
        <w:spacing w:after="80"/>
      </w:pPr>
      <w:r>
        <w:t>Main SDG targets accelerated: SDG 5.a, by supporting women's access to economic resources and finance; SDG 8.3, by promoting MSME development and access to finance; and SDG 9.3, by improving small-enterprise access to financial services and integration into value chains.</w:t>
      </w:r>
    </w:p>
    <w:p w14:paraId="0A85FAB8" w14:textId="77777777" w:rsidR="00521B41" w:rsidRDefault="00D532A8">
      <w:pPr>
        <w:pStyle w:val="Heading3"/>
      </w:pPr>
      <w:r>
        <w:t>18. Constraints and adjustments (up to 500 words)</w:t>
      </w:r>
    </w:p>
    <w:p w14:paraId="50F013AC" w14:textId="77777777" w:rsidR="00521B41" w:rsidRDefault="00D532A8">
      <w:pPr>
        <w:spacing w:after="80"/>
      </w:pPr>
      <w:r>
        <w:t>The JP encountered several internal and external constraints. The most significant was time. The project design did not sufficiently account for recruitment, fund disbursement, start-up and inception requirements. Although the programme covered 24 months on paper, effective implementation time was shorter. This compressed the period available for stakeholder engagement, piloting, learning and scale-up.</w:t>
      </w:r>
    </w:p>
    <w:p w14:paraId="252F9B7B" w14:textId="77777777" w:rsidR="00521B41" w:rsidRDefault="00D532A8">
      <w:pPr>
        <w:spacing w:after="80"/>
      </w:pPr>
      <w:r>
        <w:t>A second constraint was stakeholder hesitation around non-traditional financing structures. The JP anticipated resistance from financial institutions, government entities and other stakeholders to working outside traditional financing boundaries. In practice, this materialized as slower-than-expected operationalization in some areas. The team mitigated this through repeated consultations, co-design workshops, partnerships with commercial banks and public programmes, and targeted capacity-building to build confidence in innovative finance approaches.</w:t>
      </w:r>
    </w:p>
    <w:p w14:paraId="2E6C8A09" w14:textId="77777777" w:rsidR="00521B41" w:rsidRDefault="00D532A8">
      <w:pPr>
        <w:spacing w:after="80"/>
      </w:pPr>
      <w:r>
        <w:t>The most visible implementation effect was partial delivery of the pilot component. The programme intended to pilot two innovative financing solutions, but only the Antigua and Barbuda pilot was fully designed and implemented. The Saint Lucia pilot could not be completed because of capacity constraints affecting the selected partner and limited time to identify and operationalize an alternative. The practical adjustment was to concentrate delivery where implementation was feasible, document the Antigua and Barbuda experience and use the evidence generated to inform future replication.</w:t>
      </w:r>
    </w:p>
    <w:p w14:paraId="14F858A2" w14:textId="77777777" w:rsidR="00521B41" w:rsidRDefault="00D532A8">
      <w:pPr>
        <w:spacing w:after="80"/>
      </w:pPr>
      <w:r>
        <w:t>The JP also encountered coordination and communication challenges. Despite good collaboration among PUNOs and regular RCO check-ins, stakeholders were sometimes engaged in parallel by different agencies, contributing to fatigue and reduced responsiveness. Lessons from the Programme Steering Committee review also highlighted weak joint branding and communication products, which limited joint visibility and, at times, country-level buy-in.</w:t>
      </w:r>
    </w:p>
    <w:p w14:paraId="166CFEC5" w14:textId="77777777" w:rsidR="00521B41" w:rsidRDefault="00D532A8">
      <w:pPr>
        <w:spacing w:after="80"/>
      </w:pPr>
      <w:r>
        <w:t>Budget revision and reallocation were used as adjustment tools, but the source report indicates that these should have been applied earlier and more systematically to avoid lost implementation opportunities. Resource mobilization for continuation and scale-up was also not pursued in a coordinated way before project closure, reducing the programme's ability to convert results immediately into follow-on support.</w:t>
      </w:r>
    </w:p>
    <w:p w14:paraId="6E767CB8" w14:textId="77777777" w:rsidR="00521B41" w:rsidRDefault="00D532A8">
      <w:pPr>
        <w:spacing w:after="80"/>
      </w:pPr>
      <w:r>
        <w:t>The role of the RC and RCO was important in maintaining coordination, convening regular check-ins and supporting coherence across UNDP, UN Women and ITU. For future JPs, stronger inception planning, a unified stakeholder engagement plan, a single communications protocol, earlier risk management, more frequent workplan updates and realistic sequencing would strengthen relevance, effectiveness and UN coherence.</w:t>
      </w:r>
    </w:p>
    <w:p w14:paraId="529B7EAD" w14:textId="77777777" w:rsidR="00521B41" w:rsidRDefault="00D532A8">
      <w:pPr>
        <w:pStyle w:val="Heading3"/>
      </w:pPr>
      <w:r>
        <w:lastRenderedPageBreak/>
        <w:t>19. Lessons and Best Practices (up to 500 words)</w:t>
      </w:r>
    </w:p>
    <w:p w14:paraId="325798FA" w14:textId="77777777" w:rsidR="00521B41" w:rsidRDefault="00D532A8">
      <w:pPr>
        <w:spacing w:after="80"/>
      </w:pPr>
      <w:r>
        <w:t>Several lessons and good practices emerged from implementation. First, ambitious joint programmes require a formal inception phase. Recruitment, fund disbursement, partner readiness and procurement should be built into the implementation timeline rather than treated as routine administrative steps. This is especially important in Caribbean SIDS contexts, where small teams, national holiday periods and hurricane seasons can affect delivery windows.</w:t>
      </w:r>
    </w:p>
    <w:p w14:paraId="65947866" w14:textId="77777777" w:rsidR="00521B41" w:rsidRDefault="00D532A8">
      <w:pPr>
        <w:spacing w:after="80"/>
      </w:pPr>
      <w:r>
        <w:t>Second, innovative finance pilots require strong sequencing. Diagnostics, stakeholder consultation, partner selection, product design, beneficiary targeting, due diligence and disbursement arrangements should be mapped early and reviewed regularly. The Antigua and Barbuda pilot showed that a blended 30 percent grant and 70 percent repayable grant structure can reduce repayment pressure on MSMEs while preserving the potential for revolving capital. However, the inability to complete the Saint Lucia pilot demonstrates the importance of contingency options and alternative implementation partners.</w:t>
      </w:r>
    </w:p>
    <w:p w14:paraId="0BDBC922" w14:textId="77777777" w:rsidR="00521B41" w:rsidRDefault="00D532A8">
      <w:pPr>
        <w:spacing w:after="80"/>
      </w:pPr>
      <w:r>
        <w:t>Third, joint stakeholder engagement must be actively managed. While engagement across PUNOs was strong, parallel approaches to the same stakeholders contributed to fatigue. Future JPs should establish a unified stakeholder engagement plan, shared engagement calendar and common communication protocol from inception.</w:t>
      </w:r>
    </w:p>
    <w:p w14:paraId="09BFDC4C" w14:textId="77777777" w:rsidR="00521B41" w:rsidRDefault="00D532A8">
      <w:pPr>
        <w:spacing w:after="80"/>
      </w:pPr>
      <w:r>
        <w:t>Fourth, joint visibility should be treated as a delivery requirement. Weak joint branding and communication products limited visibility and, at times, country-level buy-in. Stronger communications planning, donor-compliant branding and agreed knowledge products would help translate technical achievements into public and political ownership.</w:t>
      </w:r>
    </w:p>
    <w:p w14:paraId="2072F2E7" w14:textId="77777777" w:rsidR="00521B41" w:rsidRDefault="00D532A8">
      <w:pPr>
        <w:spacing w:after="80"/>
      </w:pPr>
      <w:r>
        <w:t>Fifth, national ownership and sustainability depend on more than final outputs. The most promising sustainability assets were institutional mechanisms, such as DFS Security Task Forces; reusable training content; draft regulatory recommendations; partnerships with regulators and financial institutions; and the demonstrated financing model. Future initiatives should invest in partner ownership of the results framework, early resource mobilization and post-project technical accompaniment.</w:t>
      </w:r>
    </w:p>
    <w:p w14:paraId="74DD5098" w14:textId="77777777" w:rsidR="00521B41" w:rsidRDefault="00D532A8">
      <w:pPr>
        <w:spacing w:after="80"/>
      </w:pPr>
      <w:r>
        <w:t>Finally, failure and partial delivery generated useful learning. Concentrating implementation where conditions were ready helped preserve programme value, but future scale-up should use sharper prioritization, stronger contingency planning and earlier budget reallocation to protect high-priority results.</w:t>
      </w:r>
    </w:p>
    <w:p w14:paraId="6969DEC3" w14:textId="77777777" w:rsidR="00521B41" w:rsidRDefault="00D532A8">
      <w:pPr>
        <w:pStyle w:val="Heading3"/>
      </w:pPr>
      <w:r>
        <w:t>20. Upload Joint Programme Results Frameworks</w:t>
      </w:r>
    </w:p>
    <w:p w14:paraId="650BEE78" w14:textId="77777777" w:rsidR="00521B41" w:rsidRDefault="00D532A8">
      <w:pPr>
        <w:pStyle w:val="Heading3"/>
      </w:pPr>
      <w:r>
        <w:t>21. Communication update</w:t>
      </w:r>
    </w:p>
    <w:p w14:paraId="15C8643D" w14:textId="77777777" w:rsidR="00521B41" w:rsidRDefault="00D532A8">
      <w:pPr>
        <w:spacing w:after="80"/>
      </w:pPr>
      <w:r>
        <w:t>Final blog summary: Unlocking Inclusive Finance for Women and Youth Entrepreneurs in Antigua and Barbuda and Saint Lucia</w:t>
      </w:r>
    </w:p>
    <w:p w14:paraId="43BA2830" w14:textId="77777777" w:rsidR="00521B41" w:rsidRDefault="00D532A8">
      <w:pPr>
        <w:spacing w:after="80"/>
      </w:pPr>
      <w:r>
        <w:t>Women- and youth-owned MSMEs are central to inclusive growth, resilience and the achievement of the Sustainable Development Goals in Small Island Developing States. Yet many entrepreneurs continue to face barriers that limit their ability to access appropriate finance, grow their businesses and participate fully in the formal economy. Through the Joint SDG Fund-supported Joint Programme, Optimizing innovative finance for underserved groups to build resilience and accelerate the achievement of the SDGs in Antigua and Barbuda and St. Lucia, UNDP, UN Women and ITU worked with national partners to address these barriers and strengthen the ecosystem for inclusive finance.</w:t>
      </w:r>
    </w:p>
    <w:p w14:paraId="57A4A3D6" w14:textId="77777777" w:rsidR="00521B41" w:rsidRDefault="00D532A8">
      <w:pPr>
        <w:spacing w:after="80"/>
      </w:pPr>
      <w:r>
        <w:t>The Joint Programme generated a strong evidence base by completing diagnostics on barriers to women's and youth access to finance and digital financial asset legislative gap analyses in both countries. These assessments identified practical constraints, including high interest costs, short repayment periods, limited financial literacy, gender-related barriers, weak digital-finance governance and concerns about data and consumer protection.</w:t>
      </w:r>
    </w:p>
    <w:p w14:paraId="622E1FE2" w14:textId="77777777" w:rsidR="00521B41" w:rsidRDefault="00D532A8">
      <w:pPr>
        <w:spacing w:after="80"/>
      </w:pPr>
      <w:r>
        <w:t>Building on this evidence, the programme engaged governments, regulators, financial institutions, MSMEs, civil society and regional partners to co-design solutions suited to the needs of local entrepreneurs. In Antigua and Barbuda, the programme implemented a blended finance pilot with the Entrepreneurial Development Programme and Union Bank. The pilot supported 21 MSMEs through a 30 percent grant and 70 percent repayable grant structure, demonstrating a practical way to reduce repayment pressure while retaining the potential to recycle capital.</w:t>
      </w:r>
    </w:p>
    <w:p w14:paraId="1E8A0475" w14:textId="77777777" w:rsidR="00521B41" w:rsidRDefault="00D532A8">
      <w:pPr>
        <w:spacing w:after="80"/>
      </w:pPr>
      <w:r>
        <w:lastRenderedPageBreak/>
        <w:t>The programme also strengthened capacity among MSMEs and financial institutions. Sixty-six MSMEs and financial institutions were trained in digital financial literacy and gender-responsive business practices, including more than 40 women entrepreneurs. Digital finance security training and the establishment of National DFS Security Task Forces further strengthened institutional readiness for safer and more inclusive digital financial services.</w:t>
      </w:r>
    </w:p>
    <w:p w14:paraId="2FD9D0CD" w14:textId="77777777" w:rsidR="00521B41" w:rsidRDefault="00D532A8">
      <w:pPr>
        <w:spacing w:after="80"/>
      </w:pPr>
      <w:r>
        <w:t>While implementation timelines and partner-capacity constraints limited full delivery of all planned activities, the programme leaves behind tested models, strengthened partnerships, draft regulatory recommendations and practical tools for scale-up. These results provide a foundation for continued action to expand inclusive finance, strengthen digital financial ecosystems and support women and youth entrepreneurs across the Eastern Caribbean.</w:t>
      </w:r>
    </w:p>
    <w:p w14:paraId="522C0936" w14:textId="77777777" w:rsidR="00521B41" w:rsidRDefault="00D532A8">
      <w:pPr>
        <w:pStyle w:val="ListBullet"/>
      </w:pPr>
      <w:hyperlink r:id="rId9">
        <w:r>
          <w:rPr>
            <w:color w:val="0563C1"/>
            <w:u w:val="single"/>
          </w:rPr>
          <w:t>https://easterncaribbean.un.org/en/268552-joint-programme-launched-optimize-innovative-finance-underserved-groups-antigua-barbuda-and</w:t>
        </w:r>
      </w:hyperlink>
    </w:p>
    <w:p w14:paraId="7E6A340E" w14:textId="77777777" w:rsidR="00521B41" w:rsidRDefault="00D532A8">
      <w:pPr>
        <w:pStyle w:val="ListBullet"/>
      </w:pPr>
      <w:hyperlink r:id="rId10">
        <w:r>
          <w:rPr>
            <w:color w:val="0563C1"/>
            <w:u w:val="single"/>
          </w:rPr>
          <w:t>https://pointville.ag/undp-and-edp-combine-to-deliver-financial-packages-to-smes-and-youth-owned-businesses/</w:t>
        </w:r>
      </w:hyperlink>
    </w:p>
    <w:p w14:paraId="4B5BFC50" w14:textId="77777777" w:rsidR="00521B41" w:rsidRDefault="00D532A8">
      <w:pPr>
        <w:pStyle w:val="ListBullet"/>
      </w:pPr>
      <w:hyperlink r:id="rId11">
        <w:r>
          <w:rPr>
            <w:color w:val="0563C1"/>
            <w:u w:val="single"/>
          </w:rPr>
          <w:t>https://www.instagram.com/p/DIKHrnAzr6a/?hl=en</w:t>
        </w:r>
      </w:hyperlink>
    </w:p>
    <w:p w14:paraId="22EB7363" w14:textId="77777777" w:rsidR="00521B41" w:rsidRDefault="00D532A8">
      <w:pPr>
        <w:pStyle w:val="ListBullet"/>
      </w:pPr>
      <w:hyperlink r:id="rId12">
        <w:r>
          <w:rPr>
            <w:color w:val="0563C1"/>
            <w:u w:val="single"/>
          </w:rPr>
          <w:t>https://caribbean.unwomen.org/en/stories/news/2025/12/caribbean-companies-lead-the-way-in-antigua-barbuda-and-saint-lucia-ge-partnerships</w:t>
        </w:r>
      </w:hyperlink>
    </w:p>
    <w:p w14:paraId="3DB66D23" w14:textId="77777777" w:rsidR="00521B41" w:rsidRDefault="00D532A8">
      <w:pPr>
        <w:pStyle w:val="ListBullet"/>
      </w:pPr>
      <w:hyperlink r:id="rId13">
        <w:r>
          <w:rPr>
            <w:color w:val="0563C1"/>
            <w:u w:val="single"/>
          </w:rPr>
          <w:t>https://antiguanewsroom.com/undp-and-edp-join-forces-to-unlock-financial-access-for-msmes-targeting-women-and-youth-owned-businesses-across-antigua-and-barbuda/</w:t>
        </w:r>
      </w:hyperlink>
    </w:p>
    <w:p w14:paraId="1A85BF32" w14:textId="77777777" w:rsidR="00521B41" w:rsidRDefault="00D532A8">
      <w:pPr>
        <w:pStyle w:val="ListBullet"/>
      </w:pPr>
      <w:hyperlink r:id="rId14">
        <w:r>
          <w:rPr>
            <w:color w:val="0563C1"/>
            <w:u w:val="single"/>
          </w:rPr>
          <w:t>https://abstvradio.com/gender-equality-is-good-for-business-un-women/</w:t>
        </w:r>
      </w:hyperlink>
    </w:p>
    <w:p w14:paraId="25CBA847" w14:textId="77777777" w:rsidR="00521B41" w:rsidRDefault="00D532A8">
      <w:pPr>
        <w:pStyle w:val="Heading3"/>
      </w:pPr>
      <w:r>
        <w:t>22. Voices from the field</w:t>
      </w:r>
    </w:p>
    <w:p w14:paraId="60F60B1D" w14:textId="77777777" w:rsidR="00CD4886" w:rsidRDefault="00CD4886" w:rsidP="00CD4886"/>
    <w:p w14:paraId="7D4FDC4C" w14:textId="0374684B" w:rsidR="00CD4886" w:rsidRPr="00CD4886" w:rsidRDefault="00CD4886" w:rsidP="00CD4886">
      <w:r>
        <w:t>N/A</w:t>
      </w:r>
    </w:p>
    <w:p w14:paraId="4E1DD385" w14:textId="77777777" w:rsidR="00521B41" w:rsidRDefault="00D532A8">
      <w:pPr>
        <w:pStyle w:val="Heading3"/>
      </w:pPr>
      <w:r>
        <w:t>23. Exit Strategy: Country ownership and sustainability of results (up to 500 words)</w:t>
      </w:r>
    </w:p>
    <w:p w14:paraId="69487C7E" w14:textId="77777777" w:rsidR="00521B41" w:rsidRDefault="00D532A8">
      <w:pPr>
        <w:spacing w:after="80"/>
      </w:pPr>
      <w:r>
        <w:t>The JP's exit strategy is based on leaving behind tested models, strengthened institutions, reusable knowledge products and partnerships that can support future scale-up. In Antigua and Barbuda, the blended finance pilot used a 30 percent grant and 70 percent repayable grant structure to reduce repayment pressure on MSMEs while preserving the possibility of recycling capital. This model is more sustainable than grant-only support and provides a practical basis for future public-private risk-sharing arrangements.</w:t>
      </w:r>
    </w:p>
    <w:p w14:paraId="1CDCCC30" w14:textId="77777777" w:rsidR="00521B41" w:rsidRDefault="00D532A8">
      <w:pPr>
        <w:spacing w:after="80"/>
      </w:pPr>
      <w:r>
        <w:t>Institutional sustainability was strengthened through the establishment of National Digital Financial Services Security Task Forces in both countries. These platforms bring together financial regulators, telecom regulators, law enforcement and other actors around a shared oversight architecture for digital finance security. By creating standing coordination mechanisms, the JP increased the prospects that reforms initiated under the programme will continue beyond closure.</w:t>
      </w:r>
    </w:p>
    <w:p w14:paraId="5D91FBD1" w14:textId="77777777" w:rsidR="00521B41" w:rsidRDefault="00D532A8">
      <w:pPr>
        <w:spacing w:after="80"/>
      </w:pPr>
      <w:r>
        <w:t>Regulatory and technical sustainability were also supported through draft legal and regulatory recommendations, model inter-regulatory memoranda of understanding and promotion of international DFS security standards. The DFS Security Labs provide a technical verification mechanism that can support ongoing compliance monitoring and consumer protection.</w:t>
      </w:r>
    </w:p>
    <w:p w14:paraId="44766B79" w14:textId="77777777" w:rsidR="00521B41" w:rsidRDefault="00D532A8">
      <w:pPr>
        <w:spacing w:after="80"/>
      </w:pPr>
      <w:r>
        <w:t>Capacity-building investments were designed to produce multiplier effects. Trainings reached MSMEs, financial institutions, gender affairs institutions and other ecosystem actors, supporting both demand-side readiness and supply-side responsiveness. Reusable knowledge products and training content can be adapted for future delivery by national institutions and regional partners.</w:t>
      </w:r>
    </w:p>
    <w:p w14:paraId="0E05E60A" w14:textId="77777777" w:rsidR="00521B41" w:rsidRDefault="00D532A8">
      <w:pPr>
        <w:spacing w:after="80"/>
      </w:pPr>
      <w:r>
        <w:t>The partnerships developed with public programmes and commercial finance providers create an important pathway for continuation. The source report points to a potential MSME funding pipeline linked to the Entrepreneurial Development Programme and the Youth Economy portfolio, through which trained and investment-ready MSMEs could be channelled into future blended finance opportunities. Partnerships with ECCB, the World Bank, gender affairs institutions, civil society organizations and commercial banks also create an ecosystem for continued technical support, advocacy and replication.</w:t>
      </w:r>
    </w:p>
    <w:p w14:paraId="1356C263" w14:textId="77777777" w:rsidR="00521B41" w:rsidRDefault="00D532A8">
      <w:pPr>
        <w:spacing w:after="80"/>
      </w:pPr>
      <w:r>
        <w:lastRenderedPageBreak/>
        <w:t>For scale-up, the next phase should focus on additional country pilots, especially in Saint Lucia; formal adoption of recommended policy and regulatory reforms; sustained post-project technical accompaniment; and early resource mobilization to take proven elements to the next level.</w:t>
      </w:r>
    </w:p>
    <w:p w14:paraId="026BFEA6" w14:textId="77777777" w:rsidR="00521B41" w:rsidRDefault="00D532A8">
      <w:pPr>
        <w:pStyle w:val="Heading1"/>
      </w:pPr>
      <w:r>
        <w:t>Annex: Programmatic Survey</w:t>
      </w:r>
    </w:p>
    <w:p w14:paraId="0414E001" w14:textId="77777777" w:rsidR="00521B41" w:rsidRDefault="00D532A8">
      <w:pPr>
        <w:pStyle w:val="Heading3"/>
      </w:pPr>
      <w:r>
        <w:t>24. Total estimated expenditure of funds from the Joint SDG Fund [in USD, from the start date to end date]</w:t>
      </w:r>
    </w:p>
    <w:p w14:paraId="4FDF945F" w14:textId="77777777" w:rsidR="009B19F6" w:rsidRDefault="009B19F6" w:rsidP="009B19F6"/>
    <w:p w14:paraId="4AE7A6D7" w14:textId="5D8C0241" w:rsidR="009B19F6" w:rsidRPr="00225A25" w:rsidRDefault="009B19F6" w:rsidP="009B19F6">
      <w:pPr>
        <w:rPr>
          <w:highlight w:val="yellow"/>
        </w:rPr>
      </w:pPr>
      <w:r w:rsidRPr="00225A25">
        <w:rPr>
          <w:highlight w:val="yellow"/>
        </w:rPr>
        <w:t>UNDP</w:t>
      </w:r>
      <w:r w:rsidR="0083103C">
        <w:rPr>
          <w:highlight w:val="yellow"/>
        </w:rPr>
        <w:t xml:space="preserve"> - </w:t>
      </w:r>
      <w:r w:rsidR="0083103C" w:rsidRPr="0083103C">
        <w:rPr>
          <w:highlight w:val="yellow"/>
        </w:rPr>
        <w:t>422,006.93</w:t>
      </w:r>
    </w:p>
    <w:p w14:paraId="3D1BEDA6" w14:textId="53F29679" w:rsidR="009B19F6" w:rsidRPr="00225A25" w:rsidRDefault="009B19F6" w:rsidP="009B19F6">
      <w:pPr>
        <w:rPr>
          <w:highlight w:val="yellow"/>
        </w:rPr>
      </w:pPr>
      <w:r w:rsidRPr="00225A25">
        <w:rPr>
          <w:highlight w:val="yellow"/>
        </w:rPr>
        <w:t>ITU</w:t>
      </w:r>
    </w:p>
    <w:p w14:paraId="29F54837" w14:textId="72E211F1" w:rsidR="009B19F6" w:rsidRDefault="009B19F6" w:rsidP="009B19F6">
      <w:r w:rsidRPr="00225A25">
        <w:rPr>
          <w:highlight w:val="yellow"/>
        </w:rPr>
        <w:t>UN Women</w:t>
      </w:r>
    </w:p>
    <w:p w14:paraId="29C1D9A9" w14:textId="77777777" w:rsidR="00521B41" w:rsidRDefault="00D532A8">
      <w:pPr>
        <w:pStyle w:val="Heading3"/>
      </w:pPr>
      <w:r>
        <w:t>25. Overall self-assessment of the programme's progress</w:t>
      </w:r>
    </w:p>
    <w:p w14:paraId="0CC7F1CA" w14:textId="77777777" w:rsidR="00521B41" w:rsidRDefault="00D532A8">
      <w:r>
        <w:rPr>
          <w:b/>
        </w:rPr>
        <w:t>Selected response:</w:t>
      </w:r>
    </w:p>
    <w:p w14:paraId="6D9395DA" w14:textId="77777777" w:rsidR="00521B41" w:rsidRDefault="00D532A8">
      <w:pPr>
        <w:ind w:left="360"/>
      </w:pPr>
      <w:r>
        <w:t>[ ] Above expectation (expected results fully achieved and additional progress made)</w:t>
      </w:r>
    </w:p>
    <w:p w14:paraId="51E8CEFB" w14:textId="77777777" w:rsidR="00521B41" w:rsidRDefault="00D532A8">
      <w:pPr>
        <w:ind w:left="360"/>
      </w:pPr>
      <w:r>
        <w:t>[ ] On-track (expected results-achieved)</w:t>
      </w:r>
    </w:p>
    <w:p w14:paraId="6B59624D" w14:textId="77777777" w:rsidR="00521B41" w:rsidRDefault="00D532A8">
      <w:pPr>
        <w:ind w:left="360"/>
      </w:pPr>
      <w:r>
        <w:t>[x] Satisfactory (majority of expected results achieved)</w:t>
      </w:r>
    </w:p>
    <w:p w14:paraId="5F1D0C1F" w14:textId="77777777" w:rsidR="00521B41" w:rsidRDefault="00D532A8">
      <w:pPr>
        <w:ind w:left="360"/>
      </w:pPr>
      <w:r>
        <w:t>[ ] Not satisfactory (majority of expected annual results not achieved)</w:t>
      </w:r>
    </w:p>
    <w:p w14:paraId="7866EDAE" w14:textId="77777777" w:rsidR="00521B41" w:rsidRDefault="00D532A8">
      <w:pPr>
        <w:pStyle w:val="Heading3"/>
      </w:pPr>
      <w:r>
        <w:t>26. Total number of government officials and/or other service providers that have increased capacity as a result of the JP</w:t>
      </w:r>
    </w:p>
    <w:p w14:paraId="1FB9260C" w14:textId="77777777" w:rsidR="00521B41" w:rsidRDefault="00D532A8">
      <w:pPr>
        <w:spacing w:after="80"/>
      </w:pPr>
      <w:r>
        <w:t>30</w:t>
      </w:r>
    </w:p>
    <w:p w14:paraId="1CF55B53" w14:textId="77777777" w:rsidR="00521B41" w:rsidRPr="000D1C76" w:rsidRDefault="00D532A8">
      <w:pPr>
        <w:spacing w:after="80"/>
        <w:rPr>
          <w:i/>
          <w:iCs/>
        </w:rPr>
      </w:pPr>
      <w:r w:rsidRPr="000D1C76">
        <w:rPr>
          <w:i/>
          <w:iCs/>
        </w:rPr>
        <w:t>Basis: The source report records 30 individuals with enhanced capacity following digital finance security training. This is the clearest source-based figure for officials/service providers with increased capacity.</w:t>
      </w:r>
    </w:p>
    <w:p w14:paraId="0BBD4524" w14:textId="77777777" w:rsidR="00521B41" w:rsidRDefault="00D532A8">
      <w:pPr>
        <w:pStyle w:val="Heading3"/>
      </w:pPr>
      <w:r>
        <w:t>27. Percentage (%) of women officials/service providers that have increased capacity</w:t>
      </w:r>
    </w:p>
    <w:p w14:paraId="339D63AE" w14:textId="55C2901E" w:rsidR="000D1C76" w:rsidRPr="000D1C76" w:rsidRDefault="000D1C76" w:rsidP="000D1C76">
      <w:r>
        <w:t>65</w:t>
      </w:r>
    </w:p>
    <w:p w14:paraId="55C162D4" w14:textId="77777777" w:rsidR="00521B41" w:rsidRDefault="00D532A8">
      <w:pPr>
        <w:pStyle w:val="Heading3"/>
      </w:pPr>
      <w:r>
        <w:t>28. Number of beneficiaries</w:t>
      </w:r>
    </w:p>
    <w:p w14:paraId="76F93747" w14:textId="77777777" w:rsidR="00521B41" w:rsidRDefault="00D532A8">
      <w:pPr>
        <w:spacing w:after="80"/>
      </w:pPr>
      <w:r>
        <w:t>157 engagement records</w:t>
      </w:r>
    </w:p>
    <w:p w14:paraId="51CA9DF2" w14:textId="77777777" w:rsidR="00521B41" w:rsidRPr="000D1C76" w:rsidRDefault="00D532A8">
      <w:pPr>
        <w:spacing w:after="80"/>
        <w:rPr>
          <w:i/>
          <w:iCs/>
        </w:rPr>
      </w:pPr>
      <w:r w:rsidRPr="000D1C76">
        <w:rPr>
          <w:i/>
          <w:iCs/>
        </w:rPr>
        <w:t>Basis: 66 training/workshop participants + 40 dialogue/consultation participants + 21 MSMEs accessing expanded services + 30 digital finance security trainees. This should be treated as engagement records rather than a verified unique beneficiary count, because the source report does not confirm whether there are overlaps across categories.</w:t>
      </w:r>
    </w:p>
    <w:p w14:paraId="651A3031" w14:textId="77777777" w:rsidR="00521B41" w:rsidRDefault="00D532A8">
      <w:pPr>
        <w:pStyle w:val="Heading3"/>
      </w:pPr>
      <w:r>
        <w:t>29. Percentage (%) of women among the total number of beneficiaries</w:t>
      </w:r>
    </w:p>
    <w:p w14:paraId="38B7BB7E" w14:textId="77777777" w:rsidR="00521B41" w:rsidRDefault="00D532A8">
      <w:pPr>
        <w:spacing w:after="80"/>
      </w:pPr>
      <w:r>
        <w:t>41% minimum estimate</w:t>
      </w:r>
    </w:p>
    <w:p w14:paraId="7BA095A1" w14:textId="77777777" w:rsidR="00521B41" w:rsidRPr="000D1C76" w:rsidRDefault="00D532A8">
      <w:pPr>
        <w:spacing w:after="80"/>
        <w:rPr>
          <w:i/>
          <w:iCs/>
        </w:rPr>
      </w:pPr>
      <w:r w:rsidRPr="000D1C76">
        <w:rPr>
          <w:i/>
          <w:iCs/>
        </w:rPr>
        <w:t>Basis: 64 women/girls recorded across sex-disaggregated categories divided by 157 total engagement records. If calculated only against categories with sex-disaggregated data (127), the share is approximately 50%. The source report does not provide sex-disaggregated data for the 30 digital finance security trainees.</w:t>
      </w:r>
    </w:p>
    <w:p w14:paraId="5A993EEB" w14:textId="77777777" w:rsidR="00521B41" w:rsidRDefault="00D532A8">
      <w:pPr>
        <w:pStyle w:val="Heading3"/>
      </w:pPr>
      <w:r>
        <w:t>30. Percentage (%) of children &amp; youth (0-24 years of age) among the total number of beneficiaries</w:t>
      </w:r>
    </w:p>
    <w:p w14:paraId="440F99E8" w14:textId="77777777" w:rsidR="00521B41" w:rsidRDefault="00D532A8">
      <w:pPr>
        <w:spacing w:after="80"/>
      </w:pPr>
      <w:r>
        <w:t>0% based on the source report table. Note: the source report states that 16 supported businesses were owned by individuals between 18 and 35 years, but it does not identify how many were between 18 and 24.</w:t>
      </w:r>
    </w:p>
    <w:p w14:paraId="25903FA3" w14:textId="77777777" w:rsidR="00521B41" w:rsidRDefault="00D532A8">
      <w:pPr>
        <w:pStyle w:val="Heading3"/>
      </w:pPr>
      <w:r>
        <w:lastRenderedPageBreak/>
        <w:t>31. Percentage (%) of older persons (age 60 and above) among the total number of beneficiaries</w:t>
      </w:r>
    </w:p>
    <w:p w14:paraId="63906AB2" w14:textId="77777777" w:rsidR="00225A25" w:rsidRDefault="00225A25" w:rsidP="00225A25"/>
    <w:p w14:paraId="3943F4AC" w14:textId="7F0E314A" w:rsidR="00225A25" w:rsidRPr="00225A25" w:rsidRDefault="00225A25" w:rsidP="00225A25">
      <w:r>
        <w:t>0</w:t>
      </w:r>
    </w:p>
    <w:p w14:paraId="7743C511" w14:textId="77777777" w:rsidR="00521B41" w:rsidRDefault="00D532A8">
      <w:pPr>
        <w:pStyle w:val="Heading3"/>
      </w:pPr>
      <w:r>
        <w:t>32. Percentage (%) of persons with disabilities among the total number of beneficiaries</w:t>
      </w:r>
    </w:p>
    <w:p w14:paraId="30437D1F" w14:textId="77777777" w:rsidR="00225A25" w:rsidRDefault="00225A25" w:rsidP="00225A25"/>
    <w:p w14:paraId="03120021" w14:textId="649B96AA" w:rsidR="00225A25" w:rsidRPr="00225A25" w:rsidRDefault="00225A25" w:rsidP="00225A25">
      <w:r>
        <w:t>0</w:t>
      </w:r>
    </w:p>
    <w:p w14:paraId="7C5ED9E6" w14:textId="77777777" w:rsidR="00521B41" w:rsidRDefault="00D532A8">
      <w:pPr>
        <w:pStyle w:val="Heading3"/>
      </w:pPr>
      <w:r>
        <w:t>33. Please briefly explain how people benefited from the joint programme</w:t>
      </w:r>
    </w:p>
    <w:p w14:paraId="5DDA5812" w14:textId="77777777" w:rsidR="00521B41" w:rsidRDefault="00D532A8">
      <w:pPr>
        <w:spacing w:after="80"/>
      </w:pPr>
      <w:r>
        <w:t>People benefited directly and indirectly. Direct benefits included training and capacity-building for MSMEs, financial institutions and digital finance security stakeholders; consultations and dialogues with relevant stakeholders; and access to expanded services through the Antigua and Barbuda blended finance pilot. The source report records 66 training/workshop participants, 40 dialogue/consultation participants, 21 MSMEs accessing expanded services and 30 digital finance security trainees. The access-to-finance pilot benefited MSMEs by reducing repayment pressure and derisking finance through a 30 percent grant and 70 percent repayable grant structure. Women entrepreneurs benefited through dedicated diagnostics, more than 40 women trained in digital financial literacy and business skills, Gender Lens Investing engagements and promotion of the Women's Empowerment Principles. Indirect benefits include stronger institutional capacity, draft regulatory recommendations, DFS Security Task Forces and improved foundations for safer digital finance and inclusive MSME financing.</w:t>
      </w:r>
    </w:p>
    <w:p w14:paraId="1C718CC6" w14:textId="77777777" w:rsidR="00521B41" w:rsidRDefault="00D532A8">
      <w:pPr>
        <w:pStyle w:val="Heading3"/>
      </w:pPr>
      <w:r>
        <w:t>34. Did your JP organize the below key meetings and events in the last year of implementation?</w:t>
      </w:r>
    </w:p>
    <w:tbl>
      <w:tblPr>
        <w:tblStyle w:val="TableGrid"/>
        <w:tblW w:w="0" w:type="auto"/>
        <w:tblLook w:val="04A0" w:firstRow="1" w:lastRow="0" w:firstColumn="1" w:lastColumn="0" w:noHBand="0" w:noVBand="1"/>
      </w:tblPr>
      <w:tblGrid>
        <w:gridCol w:w="4791"/>
        <w:gridCol w:w="1737"/>
        <w:gridCol w:w="1737"/>
        <w:gridCol w:w="1246"/>
      </w:tblGrid>
      <w:tr w:rsidR="00A44CA5" w14:paraId="19F0D705" w14:textId="77777777" w:rsidTr="00A44CA5">
        <w:trPr>
          <w:trHeight w:val="367"/>
          <w:tblHeader/>
        </w:trPr>
        <w:tc>
          <w:tcPr>
            <w:tcW w:w="4791" w:type="dxa"/>
            <w:shd w:val="clear" w:color="auto" w:fill="1F4E79"/>
          </w:tcPr>
          <w:p w14:paraId="4B32406D" w14:textId="77777777" w:rsidR="00A44CA5" w:rsidRDefault="00A44CA5">
            <w:r>
              <w:rPr>
                <w:b/>
                <w:color w:val="FFFFFF"/>
                <w:sz w:val="16"/>
              </w:rPr>
              <w:t>Event</w:t>
            </w:r>
          </w:p>
        </w:tc>
        <w:tc>
          <w:tcPr>
            <w:tcW w:w="1737" w:type="dxa"/>
            <w:shd w:val="clear" w:color="auto" w:fill="1F4E79"/>
          </w:tcPr>
          <w:p w14:paraId="61DE6DC9" w14:textId="77777777" w:rsidR="00A44CA5" w:rsidRDefault="00A44CA5">
            <w:r>
              <w:rPr>
                <w:b/>
                <w:color w:val="FFFFFF"/>
                <w:sz w:val="16"/>
              </w:rPr>
              <w:t>Yes, in 2023</w:t>
            </w:r>
          </w:p>
        </w:tc>
        <w:tc>
          <w:tcPr>
            <w:tcW w:w="1737" w:type="dxa"/>
            <w:shd w:val="clear" w:color="auto" w:fill="1F4E79"/>
          </w:tcPr>
          <w:p w14:paraId="2D26B035" w14:textId="77777777" w:rsidR="00A44CA5" w:rsidRDefault="00A44CA5">
            <w:r>
              <w:rPr>
                <w:b/>
                <w:color w:val="FFFFFF"/>
                <w:sz w:val="16"/>
              </w:rPr>
              <w:t>Yes, in 2024</w:t>
            </w:r>
          </w:p>
        </w:tc>
        <w:tc>
          <w:tcPr>
            <w:tcW w:w="1246" w:type="dxa"/>
            <w:shd w:val="clear" w:color="auto" w:fill="1F4E79"/>
          </w:tcPr>
          <w:p w14:paraId="4042A238" w14:textId="77777777" w:rsidR="00A44CA5" w:rsidRDefault="00A44CA5">
            <w:r>
              <w:rPr>
                <w:b/>
                <w:color w:val="FFFFFF"/>
                <w:sz w:val="16"/>
              </w:rPr>
              <w:t>No</w:t>
            </w:r>
          </w:p>
        </w:tc>
      </w:tr>
      <w:tr w:rsidR="00A44CA5" w14:paraId="00BCA9A5" w14:textId="77777777" w:rsidTr="00A44CA5">
        <w:trPr>
          <w:trHeight w:val="229"/>
        </w:trPr>
        <w:tc>
          <w:tcPr>
            <w:tcW w:w="4791" w:type="dxa"/>
            <w:shd w:val="clear" w:color="auto" w:fill="FFF2CC"/>
          </w:tcPr>
          <w:p w14:paraId="47759FC0" w14:textId="77777777" w:rsidR="00A44CA5" w:rsidRPr="002C53BA" w:rsidRDefault="00A44CA5">
            <w:pPr>
              <w:rPr>
                <w:highlight w:val="yellow"/>
              </w:rPr>
            </w:pPr>
            <w:r w:rsidRPr="002C53BA">
              <w:rPr>
                <w:sz w:val="17"/>
                <w:highlight w:val="yellow"/>
              </w:rPr>
              <w:t>Final/Closing Event</w:t>
            </w:r>
          </w:p>
        </w:tc>
        <w:tc>
          <w:tcPr>
            <w:tcW w:w="1737" w:type="dxa"/>
            <w:shd w:val="clear" w:color="auto" w:fill="FFF2CC"/>
          </w:tcPr>
          <w:p w14:paraId="067E66CA" w14:textId="77777777" w:rsidR="00A44CA5" w:rsidRPr="002C53BA" w:rsidRDefault="00A44CA5">
            <w:pPr>
              <w:rPr>
                <w:highlight w:val="yellow"/>
              </w:rPr>
            </w:pPr>
          </w:p>
        </w:tc>
        <w:tc>
          <w:tcPr>
            <w:tcW w:w="1737" w:type="dxa"/>
            <w:shd w:val="clear" w:color="auto" w:fill="FFF2CC"/>
          </w:tcPr>
          <w:p w14:paraId="3A3A0549" w14:textId="77777777" w:rsidR="00A44CA5" w:rsidRPr="002C53BA" w:rsidRDefault="00A44CA5">
            <w:pPr>
              <w:rPr>
                <w:highlight w:val="yellow"/>
              </w:rPr>
            </w:pPr>
          </w:p>
        </w:tc>
        <w:tc>
          <w:tcPr>
            <w:tcW w:w="1246" w:type="dxa"/>
            <w:shd w:val="clear" w:color="auto" w:fill="FFF2CC"/>
          </w:tcPr>
          <w:p w14:paraId="5EE99A4F" w14:textId="77777777" w:rsidR="00A44CA5" w:rsidRPr="002C53BA" w:rsidRDefault="00A44CA5">
            <w:pPr>
              <w:rPr>
                <w:highlight w:val="yellow"/>
              </w:rPr>
            </w:pPr>
          </w:p>
        </w:tc>
      </w:tr>
      <w:tr w:rsidR="00A44CA5" w14:paraId="72D4E106" w14:textId="77777777" w:rsidTr="00A44CA5">
        <w:trPr>
          <w:trHeight w:val="229"/>
        </w:trPr>
        <w:tc>
          <w:tcPr>
            <w:tcW w:w="4791" w:type="dxa"/>
            <w:shd w:val="clear" w:color="auto" w:fill="FFF2CC"/>
          </w:tcPr>
          <w:p w14:paraId="60C4C18E" w14:textId="77777777" w:rsidR="00A44CA5" w:rsidRPr="002C53BA" w:rsidRDefault="00A44CA5">
            <w:pPr>
              <w:rPr>
                <w:highlight w:val="yellow"/>
              </w:rPr>
            </w:pPr>
            <w:r w:rsidRPr="002C53BA">
              <w:rPr>
                <w:sz w:val="17"/>
                <w:highlight w:val="yellow"/>
              </w:rPr>
              <w:t>Strategic partners/donors event</w:t>
            </w:r>
          </w:p>
        </w:tc>
        <w:tc>
          <w:tcPr>
            <w:tcW w:w="1737" w:type="dxa"/>
            <w:shd w:val="clear" w:color="auto" w:fill="FFF2CC"/>
          </w:tcPr>
          <w:p w14:paraId="774261A4" w14:textId="77777777" w:rsidR="00A44CA5" w:rsidRPr="002C53BA" w:rsidRDefault="00A44CA5">
            <w:pPr>
              <w:rPr>
                <w:highlight w:val="yellow"/>
              </w:rPr>
            </w:pPr>
          </w:p>
        </w:tc>
        <w:tc>
          <w:tcPr>
            <w:tcW w:w="1737" w:type="dxa"/>
            <w:shd w:val="clear" w:color="auto" w:fill="FFF2CC"/>
          </w:tcPr>
          <w:p w14:paraId="48A8BBF3" w14:textId="77777777" w:rsidR="00A44CA5" w:rsidRPr="002C53BA" w:rsidRDefault="00A44CA5">
            <w:pPr>
              <w:rPr>
                <w:highlight w:val="yellow"/>
              </w:rPr>
            </w:pPr>
          </w:p>
        </w:tc>
        <w:tc>
          <w:tcPr>
            <w:tcW w:w="1246" w:type="dxa"/>
            <w:shd w:val="clear" w:color="auto" w:fill="FFF2CC"/>
          </w:tcPr>
          <w:p w14:paraId="0C3F3E5C" w14:textId="77777777" w:rsidR="00A44CA5" w:rsidRPr="002C53BA" w:rsidRDefault="00A44CA5">
            <w:pPr>
              <w:rPr>
                <w:highlight w:val="yellow"/>
              </w:rPr>
            </w:pPr>
          </w:p>
        </w:tc>
      </w:tr>
      <w:tr w:rsidR="00A44CA5" w14:paraId="751B4A71" w14:textId="77777777" w:rsidTr="00A44CA5">
        <w:trPr>
          <w:trHeight w:val="597"/>
        </w:trPr>
        <w:tc>
          <w:tcPr>
            <w:tcW w:w="4791" w:type="dxa"/>
            <w:shd w:val="clear" w:color="auto" w:fill="FFF2CC"/>
          </w:tcPr>
          <w:p w14:paraId="6BC9A9AC" w14:textId="77777777" w:rsidR="00A44CA5" w:rsidRPr="002C53BA" w:rsidRDefault="00A44CA5">
            <w:pPr>
              <w:rPr>
                <w:highlight w:val="yellow"/>
              </w:rPr>
            </w:pPr>
            <w:r w:rsidRPr="002C53BA">
              <w:rPr>
                <w:sz w:val="17"/>
                <w:highlight w:val="yellow"/>
              </w:rPr>
              <w:t>JP steering committee/programme board meeting</w:t>
            </w:r>
          </w:p>
        </w:tc>
        <w:tc>
          <w:tcPr>
            <w:tcW w:w="1737" w:type="dxa"/>
            <w:shd w:val="clear" w:color="auto" w:fill="FFF2CC"/>
          </w:tcPr>
          <w:p w14:paraId="327F2D7C" w14:textId="77777777" w:rsidR="00A44CA5" w:rsidRPr="002C53BA" w:rsidRDefault="00A44CA5">
            <w:pPr>
              <w:rPr>
                <w:highlight w:val="yellow"/>
              </w:rPr>
            </w:pPr>
          </w:p>
        </w:tc>
        <w:tc>
          <w:tcPr>
            <w:tcW w:w="1737" w:type="dxa"/>
            <w:shd w:val="clear" w:color="auto" w:fill="FFF2CC"/>
          </w:tcPr>
          <w:p w14:paraId="5400CD94" w14:textId="77777777" w:rsidR="00A44CA5" w:rsidRPr="002C53BA" w:rsidRDefault="00A44CA5">
            <w:pPr>
              <w:rPr>
                <w:highlight w:val="yellow"/>
              </w:rPr>
            </w:pPr>
          </w:p>
        </w:tc>
        <w:tc>
          <w:tcPr>
            <w:tcW w:w="1246" w:type="dxa"/>
            <w:shd w:val="clear" w:color="auto" w:fill="FFF2CC"/>
          </w:tcPr>
          <w:p w14:paraId="3DDB974F" w14:textId="77777777" w:rsidR="00A44CA5" w:rsidRPr="002C53BA" w:rsidRDefault="00A44CA5">
            <w:pPr>
              <w:rPr>
                <w:highlight w:val="yellow"/>
              </w:rPr>
            </w:pPr>
          </w:p>
        </w:tc>
      </w:tr>
    </w:tbl>
    <w:p w14:paraId="3303C411" w14:textId="77777777" w:rsidR="00521B41" w:rsidRDefault="00521B41"/>
    <w:p w14:paraId="3285931F" w14:textId="77777777" w:rsidR="00521B41" w:rsidRDefault="00D532A8">
      <w:pPr>
        <w:pStyle w:val="Heading3"/>
      </w:pPr>
      <w:r>
        <w:t>35. Please provide an explanation if you have not held any key meeting/events for the above question.</w:t>
      </w:r>
    </w:p>
    <w:p w14:paraId="54C7F6AF" w14:textId="77777777" w:rsidR="002C53BA" w:rsidRDefault="002C53BA" w:rsidP="002C53BA"/>
    <w:p w14:paraId="01BBB5CE" w14:textId="42D7445A" w:rsidR="002C53BA" w:rsidRPr="002C53BA" w:rsidRDefault="002C53BA" w:rsidP="002C53BA">
      <w:r w:rsidRPr="002C53BA">
        <w:rPr>
          <w:highlight w:val="yellow"/>
        </w:rPr>
        <w:t>XXXX</w:t>
      </w:r>
    </w:p>
    <w:p w14:paraId="24FB8B07" w14:textId="77777777" w:rsidR="00521B41" w:rsidRDefault="00D532A8">
      <w:pPr>
        <w:pStyle w:val="Heading3"/>
      </w:pPr>
      <w:r>
        <w:t>36. Upload strategic documents produced/contributed by the JP</w:t>
      </w:r>
    </w:p>
    <w:p w14:paraId="7FE8A45C" w14:textId="77777777" w:rsidR="002C53BA" w:rsidRDefault="002C53BA" w:rsidP="002C53BA"/>
    <w:p w14:paraId="7ABFDA48" w14:textId="596289BB" w:rsidR="002C53BA" w:rsidRPr="002C53BA" w:rsidRDefault="002C53BA" w:rsidP="002C53BA">
      <w:r w:rsidRPr="002C53BA">
        <w:rPr>
          <w:highlight w:val="yellow"/>
        </w:rPr>
        <w:t>XXXX</w:t>
      </w:r>
    </w:p>
    <w:p w14:paraId="20A1446E" w14:textId="77777777" w:rsidR="00521B41" w:rsidRDefault="00D532A8">
      <w:pPr>
        <w:pStyle w:val="Heading3"/>
      </w:pPr>
      <w:r>
        <w:t>37. Which stakeholder groups did you closely partner with, as part of your JP approach? Select all relevant partners.</w:t>
      </w:r>
    </w:p>
    <w:p w14:paraId="65CAE6E2" w14:textId="77777777" w:rsidR="00521B41" w:rsidRDefault="00D532A8">
      <w:r>
        <w:rPr>
          <w:b/>
        </w:rPr>
        <w:t>Selected response:</w:t>
      </w:r>
    </w:p>
    <w:p w14:paraId="34084B69" w14:textId="77777777" w:rsidR="00521B41" w:rsidRDefault="00D532A8">
      <w:pPr>
        <w:ind w:left="360"/>
      </w:pPr>
      <w:r>
        <w:t>[x] National Government</w:t>
      </w:r>
    </w:p>
    <w:p w14:paraId="3D41D6C8" w14:textId="77777777" w:rsidR="00521B41" w:rsidRDefault="00D532A8">
      <w:pPr>
        <w:ind w:left="360"/>
      </w:pPr>
      <w:r>
        <w:t>[ ] Sub-national Governments</w:t>
      </w:r>
    </w:p>
    <w:p w14:paraId="21D9961E" w14:textId="77777777" w:rsidR="00521B41" w:rsidRDefault="00D532A8">
      <w:pPr>
        <w:ind w:left="360"/>
      </w:pPr>
      <w:r>
        <w:t>[x] Civil Society Organizations</w:t>
      </w:r>
    </w:p>
    <w:p w14:paraId="3360C01C" w14:textId="77777777" w:rsidR="00521B41" w:rsidRDefault="00D532A8">
      <w:pPr>
        <w:ind w:left="360"/>
      </w:pPr>
      <w:r>
        <w:t>[ ] Parliamentarians</w:t>
      </w:r>
    </w:p>
    <w:p w14:paraId="21B6C964" w14:textId="77777777" w:rsidR="00521B41" w:rsidRDefault="00D532A8">
      <w:pPr>
        <w:ind w:left="360"/>
      </w:pPr>
      <w:r>
        <w:t>[x] IFIs/DFIs</w:t>
      </w:r>
    </w:p>
    <w:p w14:paraId="7C58C549" w14:textId="77777777" w:rsidR="00521B41" w:rsidRDefault="00D532A8">
      <w:pPr>
        <w:ind w:left="360"/>
      </w:pPr>
      <w:r>
        <w:lastRenderedPageBreak/>
        <w:t>[x] Private sector</w:t>
      </w:r>
    </w:p>
    <w:p w14:paraId="7495780E" w14:textId="77777777" w:rsidR="00521B41" w:rsidRDefault="00D532A8">
      <w:pPr>
        <w:ind w:left="360"/>
      </w:pPr>
      <w:r>
        <w:t>[ ] Bilateral aid organizations</w:t>
      </w:r>
    </w:p>
    <w:p w14:paraId="252B98B7" w14:textId="77777777" w:rsidR="00521B41" w:rsidRDefault="00D532A8">
      <w:pPr>
        <w:ind w:left="360"/>
      </w:pPr>
      <w:r>
        <w:t>[x] Other</w:t>
      </w:r>
    </w:p>
    <w:p w14:paraId="148E600D" w14:textId="77777777" w:rsidR="00521B41" w:rsidRDefault="00D532A8">
      <w:pPr>
        <w:pStyle w:val="Heading3"/>
      </w:pPr>
      <w:r>
        <w:t>38. Please provide a brief description of the nature of engagement. Outline the main outcomes and achievements resulting from the partnerships.</w:t>
      </w:r>
    </w:p>
    <w:p w14:paraId="350795B6" w14:textId="77777777" w:rsidR="00521B41" w:rsidRDefault="00D532A8">
      <w:pPr>
        <w:spacing w:after="80"/>
      </w:pPr>
      <w:r>
        <w:t>The JP partnered closely with national government institutions responsible for finance, economic development, youth economy, gender affairs, information technology and digital transformation, as well as national focal points in Antigua and Barbuda and Saint Lucia. These partners supported consultations, validation of diagnostics, policy dialogue and alignment with national priorities.</w:t>
      </w:r>
    </w:p>
    <w:p w14:paraId="7F07296D" w14:textId="77777777" w:rsidR="00521B41" w:rsidRDefault="00D532A8">
      <w:pPr>
        <w:spacing w:after="80"/>
      </w:pPr>
      <w:r>
        <w:t>The programme also engaged IFIs/DFIs and regional actors, including the World Bank and ECCB, to strengthen the policy and financing ecosystem. Private-sector engagement included Union Bank, participating commercial banks, credit unions, chambers of commerce and business associations. These partners supported consultation, product design, financial-sector engagement and the Antigua and Barbuda pilot.</w:t>
      </w:r>
    </w:p>
    <w:p w14:paraId="50CD3149" w14:textId="77777777" w:rsidR="00521B41" w:rsidRDefault="00D532A8">
      <w:pPr>
        <w:spacing w:after="80"/>
      </w:pPr>
      <w:r>
        <w:t>Civil society organizations, including Helen's Daughters, Caribbean Women in Leadership and National Youth Councils, contributed to outreach and inclusion of women and youth perspectives. Other regional regulators and coordination mechanisms supported digital finance security, including National DFS Security Task Forces and inter-regulatory cooperation arrangements. The main outcomes were stronger ecosystem ownership, co-designed financing solutions, increased financial-sector awareness, trained entrepreneurs and institutions, and a foundation for future policy and financing reforms.</w:t>
      </w:r>
    </w:p>
    <w:p w14:paraId="6AE88C91" w14:textId="77777777" w:rsidR="00521B41" w:rsidRDefault="00D532A8">
      <w:pPr>
        <w:pStyle w:val="Heading3"/>
      </w:pPr>
      <w:r>
        <w:t>39. Financial resources leveraged</w:t>
      </w:r>
    </w:p>
    <w:p w14:paraId="766588B7" w14:textId="77777777" w:rsidR="00521B41" w:rsidRDefault="00D532A8">
      <w:pPr>
        <w:spacing w:after="80"/>
      </w:pPr>
      <w:r>
        <w:t>USD 15,000 in additional ITU co-financing beyond ProDoc expectation is evidenced in the source report. The source report also records planned/applicable PUNO contributions of UNDP USD 20,000 and UN Women USD 15,000, but their actual amount mobilized is recorded as 0. Therefore, the clearest validated additional leveraged amount is USD 15,000.</w:t>
      </w:r>
    </w:p>
    <w:p w14:paraId="303AC001" w14:textId="77777777" w:rsidR="00521B41" w:rsidRDefault="00D532A8">
      <w:pPr>
        <w:pStyle w:val="Heading3"/>
      </w:pPr>
      <w:r>
        <w:t>40. Did your JP contribute to any of the following areas related to enhancing SDG financing?</w:t>
      </w:r>
    </w:p>
    <w:tbl>
      <w:tblPr>
        <w:tblStyle w:val="TableGrid"/>
        <w:tblW w:w="0" w:type="auto"/>
        <w:tblLook w:val="04A0" w:firstRow="1" w:lastRow="0" w:firstColumn="1" w:lastColumn="0" w:noHBand="0" w:noVBand="1"/>
      </w:tblPr>
      <w:tblGrid>
        <w:gridCol w:w="4544"/>
        <w:gridCol w:w="637"/>
        <w:gridCol w:w="632"/>
        <w:gridCol w:w="4401"/>
      </w:tblGrid>
      <w:tr w:rsidR="00521B41" w14:paraId="2E561436" w14:textId="77777777">
        <w:trPr>
          <w:tblHeader/>
        </w:trPr>
        <w:tc>
          <w:tcPr>
            <w:tcW w:w="4752" w:type="dxa"/>
            <w:shd w:val="clear" w:color="auto" w:fill="1F4E79"/>
          </w:tcPr>
          <w:p w14:paraId="58E4B304" w14:textId="77777777" w:rsidR="00521B41" w:rsidRDefault="00D532A8">
            <w:r>
              <w:rPr>
                <w:b/>
                <w:color w:val="FFFFFF"/>
                <w:sz w:val="16"/>
              </w:rPr>
              <w:t>Area</w:t>
            </w:r>
          </w:p>
        </w:tc>
        <w:tc>
          <w:tcPr>
            <w:tcW w:w="648" w:type="dxa"/>
            <w:shd w:val="clear" w:color="auto" w:fill="1F4E79"/>
          </w:tcPr>
          <w:p w14:paraId="58B47353" w14:textId="77777777" w:rsidR="00521B41" w:rsidRDefault="00D532A8">
            <w:r>
              <w:rPr>
                <w:b/>
                <w:color w:val="FFFFFF"/>
                <w:sz w:val="16"/>
              </w:rPr>
              <w:t>Yes</w:t>
            </w:r>
          </w:p>
        </w:tc>
        <w:tc>
          <w:tcPr>
            <w:tcW w:w="648" w:type="dxa"/>
            <w:shd w:val="clear" w:color="auto" w:fill="1F4E79"/>
          </w:tcPr>
          <w:p w14:paraId="1DB90CF3" w14:textId="77777777" w:rsidR="00521B41" w:rsidRDefault="00D532A8">
            <w:r>
              <w:rPr>
                <w:b/>
                <w:color w:val="FFFFFF"/>
                <w:sz w:val="16"/>
              </w:rPr>
              <w:t>No</w:t>
            </w:r>
          </w:p>
        </w:tc>
        <w:tc>
          <w:tcPr>
            <w:tcW w:w="4608" w:type="dxa"/>
            <w:shd w:val="clear" w:color="auto" w:fill="1F4E79"/>
          </w:tcPr>
          <w:p w14:paraId="5F3278ED" w14:textId="77777777" w:rsidR="00521B41" w:rsidRDefault="00D532A8">
            <w:r>
              <w:rPr>
                <w:b/>
                <w:color w:val="FFFFFF"/>
                <w:sz w:val="16"/>
              </w:rPr>
              <w:t>Basis</w:t>
            </w:r>
          </w:p>
        </w:tc>
      </w:tr>
      <w:tr w:rsidR="00521B41" w14:paraId="3E0E7A65" w14:textId="77777777">
        <w:tc>
          <w:tcPr>
            <w:tcW w:w="4752" w:type="dxa"/>
            <w:shd w:val="clear" w:color="auto" w:fill="FFFFFF"/>
          </w:tcPr>
          <w:p w14:paraId="3752159D" w14:textId="77777777" w:rsidR="00521B41" w:rsidRDefault="00D532A8">
            <w:r>
              <w:rPr>
                <w:sz w:val="17"/>
              </w:rPr>
              <w:t>Drafted a bill, strategy, and/or approved a law increasing the fiscal space for the policy in focus</w:t>
            </w:r>
          </w:p>
        </w:tc>
        <w:tc>
          <w:tcPr>
            <w:tcW w:w="648" w:type="dxa"/>
            <w:shd w:val="clear" w:color="auto" w:fill="FFFFFF"/>
          </w:tcPr>
          <w:p w14:paraId="6313F223" w14:textId="77777777" w:rsidR="00521B41" w:rsidRDefault="00521B41"/>
        </w:tc>
        <w:tc>
          <w:tcPr>
            <w:tcW w:w="648" w:type="dxa"/>
            <w:shd w:val="clear" w:color="auto" w:fill="FFFFFF"/>
          </w:tcPr>
          <w:p w14:paraId="0F3D1B35" w14:textId="77777777" w:rsidR="00521B41" w:rsidRDefault="00D532A8">
            <w:r>
              <w:rPr>
                <w:sz w:val="17"/>
              </w:rPr>
              <w:t>X</w:t>
            </w:r>
          </w:p>
        </w:tc>
        <w:tc>
          <w:tcPr>
            <w:tcW w:w="4608" w:type="dxa"/>
            <w:shd w:val="clear" w:color="auto" w:fill="FFFFFF"/>
          </w:tcPr>
          <w:p w14:paraId="364988B6" w14:textId="77777777" w:rsidR="00521B41" w:rsidRDefault="00D532A8">
            <w:r>
              <w:rPr>
                <w:sz w:val="17"/>
              </w:rPr>
              <w:t>The source report evidences draft legislative/regulatory recommendations, but not a bill, strategy or approved law increasing fiscal space.</w:t>
            </w:r>
          </w:p>
        </w:tc>
      </w:tr>
      <w:tr w:rsidR="00521B41" w14:paraId="69E070C1" w14:textId="77777777">
        <w:tc>
          <w:tcPr>
            <w:tcW w:w="4752" w:type="dxa"/>
            <w:shd w:val="clear" w:color="auto" w:fill="FFFFFF"/>
          </w:tcPr>
          <w:p w14:paraId="4C7A4B15" w14:textId="77777777" w:rsidR="00521B41" w:rsidRDefault="00D532A8">
            <w:r>
              <w:rPr>
                <w:sz w:val="17"/>
              </w:rPr>
              <w:t>Produced financing, costing, diagnostic and feasibility analyses as a basis to invest or increase spending on the SDGs</w:t>
            </w:r>
          </w:p>
        </w:tc>
        <w:tc>
          <w:tcPr>
            <w:tcW w:w="648" w:type="dxa"/>
            <w:shd w:val="clear" w:color="auto" w:fill="FFFFFF"/>
          </w:tcPr>
          <w:p w14:paraId="0A9F4F08" w14:textId="77777777" w:rsidR="00521B41" w:rsidRDefault="00D532A8">
            <w:r>
              <w:rPr>
                <w:sz w:val="17"/>
              </w:rPr>
              <w:t>X</w:t>
            </w:r>
          </w:p>
        </w:tc>
        <w:tc>
          <w:tcPr>
            <w:tcW w:w="648" w:type="dxa"/>
            <w:shd w:val="clear" w:color="auto" w:fill="FFFFFF"/>
          </w:tcPr>
          <w:p w14:paraId="1CA796B0" w14:textId="77777777" w:rsidR="00521B41" w:rsidRDefault="00521B41"/>
        </w:tc>
        <w:tc>
          <w:tcPr>
            <w:tcW w:w="4608" w:type="dxa"/>
            <w:shd w:val="clear" w:color="auto" w:fill="FFFFFF"/>
          </w:tcPr>
          <w:p w14:paraId="644C9AED" w14:textId="77777777" w:rsidR="00521B41" w:rsidRDefault="00D532A8">
            <w:r>
              <w:rPr>
                <w:sz w:val="17"/>
              </w:rPr>
              <w:t>The JP completed diagnostics and gap analyses on access to finance and digital financial services.</w:t>
            </w:r>
          </w:p>
        </w:tc>
      </w:tr>
      <w:tr w:rsidR="00521B41" w14:paraId="40D0AF4A" w14:textId="77777777">
        <w:tc>
          <w:tcPr>
            <w:tcW w:w="4752" w:type="dxa"/>
            <w:shd w:val="clear" w:color="auto" w:fill="FFFFFF"/>
          </w:tcPr>
          <w:p w14:paraId="62528336" w14:textId="77777777" w:rsidR="00521B41" w:rsidRDefault="00D532A8">
            <w:r>
              <w:rPr>
                <w:sz w:val="17"/>
              </w:rPr>
              <w:t>Improved efficiency (cost savings) in the management of programmes/schemes</w:t>
            </w:r>
          </w:p>
        </w:tc>
        <w:tc>
          <w:tcPr>
            <w:tcW w:w="648" w:type="dxa"/>
            <w:shd w:val="clear" w:color="auto" w:fill="FFFFFF"/>
          </w:tcPr>
          <w:p w14:paraId="1280AC6D" w14:textId="77777777" w:rsidR="00521B41" w:rsidRDefault="00521B41"/>
        </w:tc>
        <w:tc>
          <w:tcPr>
            <w:tcW w:w="648" w:type="dxa"/>
            <w:shd w:val="clear" w:color="auto" w:fill="FFFFFF"/>
          </w:tcPr>
          <w:p w14:paraId="6D638419" w14:textId="77777777" w:rsidR="00521B41" w:rsidRDefault="00D532A8">
            <w:r>
              <w:rPr>
                <w:sz w:val="17"/>
              </w:rPr>
              <w:t>X</w:t>
            </w:r>
          </w:p>
        </w:tc>
        <w:tc>
          <w:tcPr>
            <w:tcW w:w="4608" w:type="dxa"/>
            <w:shd w:val="clear" w:color="auto" w:fill="FFFFFF"/>
          </w:tcPr>
          <w:p w14:paraId="1DCF9D42" w14:textId="77777777" w:rsidR="00521B41" w:rsidRDefault="00D532A8">
            <w:r>
              <w:rPr>
                <w:sz w:val="17"/>
              </w:rPr>
              <w:t>Not evidenced in the source report.</w:t>
            </w:r>
          </w:p>
        </w:tc>
      </w:tr>
      <w:tr w:rsidR="00521B41" w14:paraId="16456FE0" w14:textId="77777777">
        <w:tc>
          <w:tcPr>
            <w:tcW w:w="4752" w:type="dxa"/>
            <w:shd w:val="clear" w:color="auto" w:fill="FFFFFF"/>
          </w:tcPr>
          <w:p w14:paraId="20E17A35" w14:textId="77777777" w:rsidR="00521B41" w:rsidRDefault="00D532A8">
            <w:r>
              <w:rPr>
                <w:sz w:val="17"/>
              </w:rPr>
              <w:t>Improved effectiveness (value for money; social impact of $1 spent) of spending</w:t>
            </w:r>
          </w:p>
        </w:tc>
        <w:tc>
          <w:tcPr>
            <w:tcW w:w="648" w:type="dxa"/>
            <w:shd w:val="clear" w:color="auto" w:fill="FFFFFF"/>
          </w:tcPr>
          <w:p w14:paraId="051A124F" w14:textId="77777777" w:rsidR="00521B41" w:rsidRDefault="00521B41"/>
        </w:tc>
        <w:tc>
          <w:tcPr>
            <w:tcW w:w="648" w:type="dxa"/>
            <w:shd w:val="clear" w:color="auto" w:fill="FFFFFF"/>
          </w:tcPr>
          <w:p w14:paraId="543D0603" w14:textId="77777777" w:rsidR="00521B41" w:rsidRDefault="00D532A8">
            <w:r>
              <w:rPr>
                <w:sz w:val="17"/>
              </w:rPr>
              <w:t>X</w:t>
            </w:r>
          </w:p>
        </w:tc>
        <w:tc>
          <w:tcPr>
            <w:tcW w:w="4608" w:type="dxa"/>
            <w:shd w:val="clear" w:color="auto" w:fill="FFFFFF"/>
          </w:tcPr>
          <w:p w14:paraId="441C8C76" w14:textId="77777777" w:rsidR="00521B41" w:rsidRDefault="00D532A8">
            <w:r>
              <w:rPr>
                <w:sz w:val="17"/>
              </w:rPr>
              <w:t>The pilot suggests improved targeting and derisking, but no value-for-money/social-impact-per-dollar evidence is provided.</w:t>
            </w:r>
          </w:p>
        </w:tc>
      </w:tr>
      <w:tr w:rsidR="00521B41" w14:paraId="7ED1D9D7" w14:textId="77777777">
        <w:tc>
          <w:tcPr>
            <w:tcW w:w="4752" w:type="dxa"/>
            <w:shd w:val="clear" w:color="auto" w:fill="FFFFFF"/>
          </w:tcPr>
          <w:p w14:paraId="00E19229" w14:textId="77777777" w:rsidR="00521B41" w:rsidRDefault="00D532A8">
            <w:r>
              <w:rPr>
                <w:sz w:val="17"/>
              </w:rPr>
              <w:t>Drafted policies/regulatory frameworks or developed tools to incentivize private sector investment on the SDGs</w:t>
            </w:r>
          </w:p>
        </w:tc>
        <w:tc>
          <w:tcPr>
            <w:tcW w:w="648" w:type="dxa"/>
            <w:shd w:val="clear" w:color="auto" w:fill="FFFFFF"/>
          </w:tcPr>
          <w:p w14:paraId="68B0E1B2" w14:textId="77777777" w:rsidR="00521B41" w:rsidRDefault="00D532A8">
            <w:r>
              <w:rPr>
                <w:sz w:val="17"/>
              </w:rPr>
              <w:t>X</w:t>
            </w:r>
          </w:p>
        </w:tc>
        <w:tc>
          <w:tcPr>
            <w:tcW w:w="648" w:type="dxa"/>
            <w:shd w:val="clear" w:color="auto" w:fill="FFFFFF"/>
          </w:tcPr>
          <w:p w14:paraId="64CF4959" w14:textId="77777777" w:rsidR="00521B41" w:rsidRDefault="00521B41"/>
        </w:tc>
        <w:tc>
          <w:tcPr>
            <w:tcW w:w="4608" w:type="dxa"/>
            <w:shd w:val="clear" w:color="auto" w:fill="FFFFFF"/>
          </w:tcPr>
          <w:p w14:paraId="7F3DBEE8" w14:textId="77777777" w:rsidR="00521B41" w:rsidRDefault="00D532A8">
            <w:r>
              <w:rPr>
                <w:sz w:val="17"/>
              </w:rPr>
              <w:t>The JP produced draft legal/regulatory recommendations and tools for digital finance security and inter-regulatory cooperation.</w:t>
            </w:r>
          </w:p>
        </w:tc>
      </w:tr>
      <w:tr w:rsidR="00521B41" w14:paraId="6FBF5DD2" w14:textId="77777777">
        <w:tc>
          <w:tcPr>
            <w:tcW w:w="4752" w:type="dxa"/>
            <w:shd w:val="clear" w:color="auto" w:fill="FFFFFF"/>
          </w:tcPr>
          <w:p w14:paraId="539F0E35" w14:textId="77777777" w:rsidR="00521B41" w:rsidRDefault="00D532A8">
            <w:r>
              <w:rPr>
                <w:sz w:val="17"/>
              </w:rPr>
              <w:t>Structured new financial instruments (public, private or blended) to leverage additional funding</w:t>
            </w:r>
          </w:p>
        </w:tc>
        <w:tc>
          <w:tcPr>
            <w:tcW w:w="648" w:type="dxa"/>
            <w:shd w:val="clear" w:color="auto" w:fill="FFFFFF"/>
          </w:tcPr>
          <w:p w14:paraId="17F0DFE6" w14:textId="77777777" w:rsidR="00521B41" w:rsidRDefault="00D532A8">
            <w:r>
              <w:rPr>
                <w:sz w:val="17"/>
              </w:rPr>
              <w:t>X</w:t>
            </w:r>
          </w:p>
        </w:tc>
        <w:tc>
          <w:tcPr>
            <w:tcW w:w="648" w:type="dxa"/>
            <w:shd w:val="clear" w:color="auto" w:fill="FFFFFF"/>
          </w:tcPr>
          <w:p w14:paraId="0ECA2977" w14:textId="77777777" w:rsidR="00521B41" w:rsidRDefault="00521B41"/>
        </w:tc>
        <w:tc>
          <w:tcPr>
            <w:tcW w:w="4608" w:type="dxa"/>
            <w:shd w:val="clear" w:color="auto" w:fill="FFFFFF"/>
          </w:tcPr>
          <w:p w14:paraId="7CA56277" w14:textId="77777777" w:rsidR="00521B41" w:rsidRDefault="00D532A8">
            <w:r>
              <w:rPr>
                <w:sz w:val="17"/>
              </w:rPr>
              <w:t>The JP structured and implemented a 30:70 blended grant/repayable grant pilot in Antigua and Barbuda.</w:t>
            </w:r>
          </w:p>
        </w:tc>
      </w:tr>
    </w:tbl>
    <w:p w14:paraId="1B7F4564" w14:textId="77777777" w:rsidR="00521B41" w:rsidRDefault="00521B41"/>
    <w:p w14:paraId="7C95C9CB" w14:textId="77777777" w:rsidR="00521B41" w:rsidRDefault="00D532A8">
      <w:pPr>
        <w:pStyle w:val="Heading3"/>
      </w:pPr>
      <w:r>
        <w:t>41. If yes, briefly explain how and in which area your JP contributed to enhancing SDG financing.</w:t>
      </w:r>
    </w:p>
    <w:p w14:paraId="196B60FE" w14:textId="77777777" w:rsidR="00521B41" w:rsidRDefault="00D532A8">
      <w:pPr>
        <w:spacing w:after="80"/>
      </w:pPr>
      <w:r>
        <w:t xml:space="preserve">The JP enhanced SDG financing in three main ways. First, it produced diagnostics and gap analyses that identified barriers to women and youth access to finance and assessed digital financial services policy, legal and regulatory gaps. These analyses created an evidence base for investment, policy reform and targeted support to underserved MSMEs. Second, it developed draft legislative and regulatory recommendations, model inter-regulatory arrangements and digital finance security mechanisms that can strengthen trust and incentivize responsible private-sector participation in digital financial services. Third, it structured and implemented a blended finance pilot in Antigua and Barbuda using a 30 percent grant and 70 percent repayable grant model. This mechanism tested a </w:t>
      </w:r>
      <w:r>
        <w:lastRenderedPageBreak/>
        <w:t>practical approach to derisk MSME finance, reduce repayment burdens and preserve the potential to recycle capital for future enterprise support.</w:t>
      </w:r>
    </w:p>
    <w:p w14:paraId="4774A7A5" w14:textId="77777777" w:rsidR="00521B41" w:rsidRDefault="00D532A8">
      <w:pPr>
        <w:pStyle w:val="Heading3"/>
      </w:pPr>
      <w:r>
        <w:t>42. How would you describe your JP's level of ambition on gender?</w:t>
      </w:r>
    </w:p>
    <w:p w14:paraId="615047B2" w14:textId="77777777" w:rsidR="00521B41" w:rsidRDefault="00D532A8">
      <w:r>
        <w:rPr>
          <w:b/>
        </w:rPr>
        <w:t>Selected response:</w:t>
      </w:r>
    </w:p>
    <w:p w14:paraId="5FDB60F0" w14:textId="77777777" w:rsidR="00521B41" w:rsidRDefault="00D532A8">
      <w:pPr>
        <w:ind w:left="360"/>
      </w:pPr>
      <w:r>
        <w:t>[ ] Gender-sensitive</w:t>
      </w:r>
    </w:p>
    <w:p w14:paraId="7E22B8E4" w14:textId="77777777" w:rsidR="00521B41" w:rsidRDefault="00D532A8">
      <w:pPr>
        <w:ind w:left="360"/>
      </w:pPr>
      <w:r>
        <w:t>[x] Gender-responsive</w:t>
      </w:r>
    </w:p>
    <w:p w14:paraId="151BFDA3" w14:textId="77777777" w:rsidR="00521B41" w:rsidRDefault="00D532A8">
      <w:pPr>
        <w:ind w:left="360"/>
      </w:pPr>
      <w:r>
        <w:t>[ ] Gender-transformative</w:t>
      </w:r>
    </w:p>
    <w:p w14:paraId="6DDE24F6" w14:textId="77777777" w:rsidR="00521B41" w:rsidRDefault="00D532A8">
      <w:pPr>
        <w:spacing w:after="80"/>
      </w:pPr>
      <w:r>
        <w:t>The source report supports a gender-responsive classification, with some transformative intent. The JP responded to specific gendered barriers faced by women entrepreneurs through diagnostics, training, Gender Lens Investing, Women's Empowerment Principles and an access-to-finance pilot design. The source report does not provide sufficient evidence of broader social norm or power-relation change to classify the JP as fully gender-transformative.</w:t>
      </w:r>
    </w:p>
    <w:p w14:paraId="7E3CEDE5" w14:textId="77777777" w:rsidR="00521B41" w:rsidRDefault="00D532A8">
      <w:pPr>
        <w:pStyle w:val="Heading3"/>
      </w:pPr>
      <w:r>
        <w:t>43. What were the main activities that the JP undertook on gender equality?</w:t>
      </w:r>
    </w:p>
    <w:p w14:paraId="027F6634" w14:textId="77777777" w:rsidR="00521B41" w:rsidRDefault="00D532A8">
      <w:r>
        <w:rPr>
          <w:b/>
        </w:rPr>
        <w:t>Selected response:</w:t>
      </w:r>
    </w:p>
    <w:p w14:paraId="6C807DAE" w14:textId="77777777" w:rsidR="00521B41" w:rsidRDefault="00D532A8">
      <w:pPr>
        <w:ind w:left="360"/>
      </w:pPr>
      <w:r>
        <w:t>[x] Evidence, data collection and analysis</w:t>
      </w:r>
    </w:p>
    <w:p w14:paraId="18625D2C" w14:textId="77777777" w:rsidR="00521B41" w:rsidRDefault="00D532A8">
      <w:pPr>
        <w:ind w:left="360"/>
      </w:pPr>
      <w:r>
        <w:t>[x] Policy dialogues, advocacy</w:t>
      </w:r>
    </w:p>
    <w:p w14:paraId="109D2D31" w14:textId="77777777" w:rsidR="00521B41" w:rsidRDefault="00D532A8">
      <w:pPr>
        <w:ind w:left="360"/>
      </w:pPr>
      <w:r>
        <w:t>[ ] Design of new gender-transformative programmes</w:t>
      </w:r>
    </w:p>
    <w:p w14:paraId="78DB59DC" w14:textId="77777777" w:rsidR="00521B41" w:rsidRDefault="00D532A8">
      <w:pPr>
        <w:ind w:left="360"/>
      </w:pPr>
      <w:r>
        <w:t>[ ] Adaptation of existing programmes</w:t>
      </w:r>
    </w:p>
    <w:p w14:paraId="12133B72" w14:textId="77777777" w:rsidR="00521B41" w:rsidRDefault="00D532A8">
      <w:pPr>
        <w:ind w:left="360"/>
      </w:pPr>
      <w:r>
        <w:t>[x] Capacity development</w:t>
      </w:r>
    </w:p>
    <w:p w14:paraId="06DC34E6" w14:textId="77777777" w:rsidR="00521B41" w:rsidRDefault="00D532A8">
      <w:pPr>
        <w:ind w:left="360"/>
      </w:pPr>
      <w:r>
        <w:t>[x] Other</w:t>
      </w:r>
    </w:p>
    <w:p w14:paraId="48E5FCAC" w14:textId="77777777" w:rsidR="00521B41" w:rsidRDefault="00D532A8">
      <w:pPr>
        <w:spacing w:after="80"/>
      </w:pPr>
      <w:r>
        <w:t>Other: Gender Lens Investing sessions, promotion of the Women's Empowerment Principles, business partnerships for gender equality and the design of an access-to-finance pilot intended to reduce collateral, cash-flow and risk barriers facing women-owned MSMEs.</w:t>
      </w:r>
    </w:p>
    <w:p w14:paraId="3A1B3743" w14:textId="77777777" w:rsidR="00521B41" w:rsidRDefault="00D532A8">
      <w:pPr>
        <w:pStyle w:val="Heading3"/>
      </w:pPr>
      <w:r>
        <w:t>44. Did your JP address the below cross-cutting issues and principles of leaving no one behind?</w:t>
      </w:r>
    </w:p>
    <w:tbl>
      <w:tblPr>
        <w:tblStyle w:val="TableGrid"/>
        <w:tblW w:w="0" w:type="auto"/>
        <w:tblLook w:val="04A0" w:firstRow="1" w:lastRow="0" w:firstColumn="1" w:lastColumn="0" w:noHBand="0" w:noVBand="1"/>
      </w:tblPr>
      <w:tblGrid>
        <w:gridCol w:w="3745"/>
        <w:gridCol w:w="638"/>
        <w:gridCol w:w="633"/>
        <w:gridCol w:w="5198"/>
      </w:tblGrid>
      <w:tr w:rsidR="00521B41" w14:paraId="1ACD1A30" w14:textId="77777777">
        <w:trPr>
          <w:tblHeader/>
        </w:trPr>
        <w:tc>
          <w:tcPr>
            <w:tcW w:w="3888" w:type="dxa"/>
            <w:shd w:val="clear" w:color="auto" w:fill="1F4E79"/>
          </w:tcPr>
          <w:p w14:paraId="4123EAF1" w14:textId="77777777" w:rsidR="00521B41" w:rsidRDefault="00D532A8">
            <w:r>
              <w:rPr>
                <w:b/>
                <w:color w:val="FFFFFF"/>
                <w:sz w:val="16"/>
              </w:rPr>
              <w:t>Cross-cutting issue</w:t>
            </w:r>
          </w:p>
        </w:tc>
        <w:tc>
          <w:tcPr>
            <w:tcW w:w="648" w:type="dxa"/>
            <w:shd w:val="clear" w:color="auto" w:fill="1F4E79"/>
          </w:tcPr>
          <w:p w14:paraId="19F90515" w14:textId="77777777" w:rsidR="00521B41" w:rsidRDefault="00D532A8">
            <w:r>
              <w:rPr>
                <w:b/>
                <w:color w:val="FFFFFF"/>
                <w:sz w:val="16"/>
              </w:rPr>
              <w:t>Yes</w:t>
            </w:r>
          </w:p>
        </w:tc>
        <w:tc>
          <w:tcPr>
            <w:tcW w:w="648" w:type="dxa"/>
            <w:shd w:val="clear" w:color="auto" w:fill="1F4E79"/>
          </w:tcPr>
          <w:p w14:paraId="0144AED4" w14:textId="77777777" w:rsidR="00521B41" w:rsidRDefault="00D532A8">
            <w:r>
              <w:rPr>
                <w:b/>
                <w:color w:val="FFFFFF"/>
                <w:sz w:val="16"/>
              </w:rPr>
              <w:t>No</w:t>
            </w:r>
          </w:p>
        </w:tc>
        <w:tc>
          <w:tcPr>
            <w:tcW w:w="5472" w:type="dxa"/>
            <w:shd w:val="clear" w:color="auto" w:fill="1F4E79"/>
          </w:tcPr>
          <w:p w14:paraId="42F3B755" w14:textId="77777777" w:rsidR="00521B41" w:rsidRDefault="00D532A8">
            <w:r>
              <w:rPr>
                <w:b/>
                <w:color w:val="FFFFFF"/>
                <w:sz w:val="16"/>
              </w:rPr>
              <w:t>Comment</w:t>
            </w:r>
          </w:p>
        </w:tc>
      </w:tr>
      <w:tr w:rsidR="00521B41" w14:paraId="748CBC3B" w14:textId="77777777">
        <w:tc>
          <w:tcPr>
            <w:tcW w:w="3888" w:type="dxa"/>
            <w:shd w:val="clear" w:color="auto" w:fill="FFFFFF"/>
          </w:tcPr>
          <w:p w14:paraId="49726E5E" w14:textId="77777777" w:rsidR="00521B41" w:rsidRDefault="00D532A8">
            <w:r>
              <w:rPr>
                <w:sz w:val="17"/>
              </w:rPr>
              <w:t>Human rights analysis and strategy to address human rights issues</w:t>
            </w:r>
          </w:p>
        </w:tc>
        <w:tc>
          <w:tcPr>
            <w:tcW w:w="648" w:type="dxa"/>
            <w:shd w:val="clear" w:color="auto" w:fill="FFFFFF"/>
          </w:tcPr>
          <w:p w14:paraId="4600D833" w14:textId="77777777" w:rsidR="00521B41" w:rsidRDefault="00D532A8">
            <w:r>
              <w:rPr>
                <w:sz w:val="17"/>
              </w:rPr>
              <w:t>X</w:t>
            </w:r>
          </w:p>
        </w:tc>
        <w:tc>
          <w:tcPr>
            <w:tcW w:w="648" w:type="dxa"/>
            <w:shd w:val="clear" w:color="auto" w:fill="FFFFFF"/>
          </w:tcPr>
          <w:p w14:paraId="29730461" w14:textId="77777777" w:rsidR="00521B41" w:rsidRDefault="00521B41"/>
        </w:tc>
        <w:tc>
          <w:tcPr>
            <w:tcW w:w="5472" w:type="dxa"/>
            <w:shd w:val="clear" w:color="auto" w:fill="FFFFFF"/>
          </w:tcPr>
          <w:p w14:paraId="3C7BCDA3" w14:textId="77777777" w:rsidR="00521B41" w:rsidRDefault="00D532A8">
            <w:r>
              <w:rPr>
                <w:sz w:val="17"/>
              </w:rPr>
              <w:t>The source report states that the ProDoc grounded the JP in treaty commitments, UPR recommendations and the rights of women and other marginalized groups.</w:t>
            </w:r>
          </w:p>
        </w:tc>
      </w:tr>
      <w:tr w:rsidR="00521B41" w14:paraId="4F2505F0" w14:textId="77777777">
        <w:tc>
          <w:tcPr>
            <w:tcW w:w="3888" w:type="dxa"/>
            <w:shd w:val="clear" w:color="auto" w:fill="FFFFFF"/>
          </w:tcPr>
          <w:p w14:paraId="561E115A" w14:textId="77777777" w:rsidR="00521B41" w:rsidRDefault="00D532A8">
            <w:r>
              <w:rPr>
                <w:sz w:val="17"/>
              </w:rPr>
              <w:t>Structural inequalities facing persons with disabilities</w:t>
            </w:r>
          </w:p>
        </w:tc>
        <w:tc>
          <w:tcPr>
            <w:tcW w:w="648" w:type="dxa"/>
            <w:shd w:val="clear" w:color="auto" w:fill="FFFFFF"/>
          </w:tcPr>
          <w:p w14:paraId="5A8C9584" w14:textId="77777777" w:rsidR="00521B41" w:rsidRDefault="00521B41"/>
        </w:tc>
        <w:tc>
          <w:tcPr>
            <w:tcW w:w="648" w:type="dxa"/>
            <w:shd w:val="clear" w:color="auto" w:fill="FFFFFF"/>
          </w:tcPr>
          <w:p w14:paraId="5E50D167" w14:textId="77777777" w:rsidR="00521B41" w:rsidRDefault="00D532A8">
            <w:r>
              <w:rPr>
                <w:sz w:val="17"/>
              </w:rPr>
              <w:t>X</w:t>
            </w:r>
          </w:p>
        </w:tc>
        <w:tc>
          <w:tcPr>
            <w:tcW w:w="5472" w:type="dxa"/>
            <w:shd w:val="clear" w:color="auto" w:fill="FFFFFF"/>
          </w:tcPr>
          <w:p w14:paraId="5D7E3E33" w14:textId="77777777" w:rsidR="00521B41" w:rsidRDefault="00D532A8">
            <w:r>
              <w:rPr>
                <w:sz w:val="17"/>
              </w:rPr>
              <w:t>No direct disability-specific strategy or beneficiary data is evidenced. Potential indirect benefits are noted for persons with disabilities as part of broader LNOB groups.</w:t>
            </w:r>
          </w:p>
        </w:tc>
      </w:tr>
      <w:tr w:rsidR="00521B41" w14:paraId="182064F0" w14:textId="77777777">
        <w:tc>
          <w:tcPr>
            <w:tcW w:w="3888" w:type="dxa"/>
            <w:shd w:val="clear" w:color="auto" w:fill="FFFFFF"/>
          </w:tcPr>
          <w:p w14:paraId="5A61B91A" w14:textId="77777777" w:rsidR="00521B41" w:rsidRDefault="00D532A8">
            <w:r>
              <w:rPr>
                <w:sz w:val="17"/>
              </w:rPr>
              <w:t>Positive results/effects for youth in accordance with Youth 2030</w:t>
            </w:r>
          </w:p>
        </w:tc>
        <w:tc>
          <w:tcPr>
            <w:tcW w:w="648" w:type="dxa"/>
            <w:shd w:val="clear" w:color="auto" w:fill="FFFFFF"/>
          </w:tcPr>
          <w:p w14:paraId="72071061" w14:textId="77777777" w:rsidR="00521B41" w:rsidRDefault="00D532A8">
            <w:r>
              <w:rPr>
                <w:sz w:val="17"/>
              </w:rPr>
              <w:t>X</w:t>
            </w:r>
          </w:p>
        </w:tc>
        <w:tc>
          <w:tcPr>
            <w:tcW w:w="648" w:type="dxa"/>
            <w:shd w:val="clear" w:color="auto" w:fill="FFFFFF"/>
          </w:tcPr>
          <w:p w14:paraId="140C55B2" w14:textId="77777777" w:rsidR="00521B41" w:rsidRDefault="00521B41"/>
        </w:tc>
        <w:tc>
          <w:tcPr>
            <w:tcW w:w="5472" w:type="dxa"/>
            <w:shd w:val="clear" w:color="auto" w:fill="FFFFFF"/>
          </w:tcPr>
          <w:p w14:paraId="38405C44" w14:textId="77777777" w:rsidR="00521B41" w:rsidRDefault="00D532A8">
            <w:r>
              <w:rPr>
                <w:sz w:val="17"/>
              </w:rPr>
              <w:t>Youth were direct target beneficiaries through diagnostics, pilot model design and entrepreneurship-related access-to-finance work.</w:t>
            </w:r>
          </w:p>
        </w:tc>
      </w:tr>
      <w:tr w:rsidR="00521B41" w14:paraId="72125CAC" w14:textId="77777777">
        <w:tc>
          <w:tcPr>
            <w:tcW w:w="3888" w:type="dxa"/>
            <w:shd w:val="clear" w:color="auto" w:fill="FFFFFF"/>
          </w:tcPr>
          <w:p w14:paraId="2DCD0290" w14:textId="77777777" w:rsidR="00521B41" w:rsidRDefault="00D532A8">
            <w:r>
              <w:rPr>
                <w:sz w:val="17"/>
              </w:rPr>
              <w:t>Environmental and social standards/safeguards</w:t>
            </w:r>
          </w:p>
        </w:tc>
        <w:tc>
          <w:tcPr>
            <w:tcW w:w="648" w:type="dxa"/>
            <w:shd w:val="clear" w:color="auto" w:fill="FFFFFF"/>
          </w:tcPr>
          <w:p w14:paraId="2CE80AB5" w14:textId="77777777" w:rsidR="00521B41" w:rsidRDefault="00D532A8">
            <w:r>
              <w:rPr>
                <w:sz w:val="17"/>
              </w:rPr>
              <w:t>X</w:t>
            </w:r>
          </w:p>
        </w:tc>
        <w:tc>
          <w:tcPr>
            <w:tcW w:w="648" w:type="dxa"/>
            <w:shd w:val="clear" w:color="auto" w:fill="FFFFFF"/>
          </w:tcPr>
          <w:p w14:paraId="5CEF84AA" w14:textId="77777777" w:rsidR="00521B41" w:rsidRDefault="00521B41"/>
        </w:tc>
        <w:tc>
          <w:tcPr>
            <w:tcW w:w="5472" w:type="dxa"/>
            <w:shd w:val="clear" w:color="auto" w:fill="FFFFFF"/>
          </w:tcPr>
          <w:p w14:paraId="6BC14F76" w14:textId="77777777" w:rsidR="00521B41" w:rsidRDefault="00D532A8">
            <w:r>
              <w:rPr>
                <w:sz w:val="17"/>
              </w:rPr>
              <w:t>The project was governed by agency-level social and environmental standards and grievance redress mechanisms.</w:t>
            </w:r>
          </w:p>
        </w:tc>
      </w:tr>
    </w:tbl>
    <w:p w14:paraId="457A2799" w14:textId="77777777" w:rsidR="00521B41" w:rsidRDefault="00521B41"/>
    <w:p w14:paraId="7A4DEED2" w14:textId="77777777" w:rsidR="00521B41" w:rsidRDefault="00D532A8">
      <w:pPr>
        <w:pStyle w:val="Heading3"/>
      </w:pPr>
      <w:r>
        <w:t>45. Please provide any other comments or descriptions on how your JP contributed to cross-cutting issues and principles.</w:t>
      </w:r>
    </w:p>
    <w:p w14:paraId="1ACFF11E" w14:textId="77777777" w:rsidR="00521B41" w:rsidRDefault="00D532A8">
      <w:pPr>
        <w:spacing w:after="80"/>
      </w:pPr>
      <w:r>
        <w:t xml:space="preserve">The JP contributed to cross-cutting issues through a focus on underserved groups, especially women and youth entrepreneurs. Human rights considerations were reflected in the programme document's grounding in treaty commitments, UPR recommendations and the rights of women and other marginalized groups. Gender equality and women's economic empowerment were advanced through diagnostics on barriers to women's access to </w:t>
      </w:r>
      <w:r>
        <w:lastRenderedPageBreak/>
        <w:t>finance, training for more than 40 women entrepreneurs, Gender Lens Investing sessions, promotion of the Women's Empowerment Principles and a pilot design intended to reduce collateral, cash-flow and risk barriers affecting women-owned MSMEs.</w:t>
      </w:r>
    </w:p>
    <w:p w14:paraId="3661C512" w14:textId="77777777" w:rsidR="00521B41" w:rsidRDefault="00D532A8">
      <w:pPr>
        <w:spacing w:after="80"/>
      </w:pPr>
      <w:r>
        <w:t>Youth inclusion was addressed through youth-focused diagnostics, entrepreneurship-related access-to-finance work and the overall pilot design. Environmental and social safeguards were addressed through agency-level social and environmental standards and grievance redress mechanisms. The programme also has potential indirect benefits for other LNOB groups, including persons with disabilities, older persons, migrants, rural workers, unemployed persons, persons living in poverty and persons excluded from formal banking and credit systems. However, the source report does not provide sufficient beneficiary disaggregation by disability, age or geographic location to quantify these effects.</w:t>
      </w:r>
    </w:p>
    <w:p w14:paraId="5FD20DB7" w14:textId="77777777" w:rsidR="00521B41" w:rsidRDefault="00D532A8">
      <w:pPr>
        <w:pStyle w:val="Heading3"/>
      </w:pPr>
      <w:r>
        <w:t>46. Did your JP support the localization of SDGs by moving SDG actions to the local level and enhancing abilities of local and regional governments to promote the SDGs? Select all that applies.</w:t>
      </w:r>
    </w:p>
    <w:p w14:paraId="18651EF1" w14:textId="77777777" w:rsidR="00521B41" w:rsidRDefault="00D532A8">
      <w:r>
        <w:rPr>
          <w:b/>
        </w:rPr>
        <w:t>Selected response:</w:t>
      </w:r>
    </w:p>
    <w:p w14:paraId="7A60C7E2" w14:textId="77777777" w:rsidR="00521B41" w:rsidRDefault="00D532A8">
      <w:pPr>
        <w:ind w:left="360"/>
      </w:pPr>
      <w:r>
        <w:t>[x] Raised awareness</w:t>
      </w:r>
    </w:p>
    <w:p w14:paraId="6DE11C1D" w14:textId="77777777" w:rsidR="00521B41" w:rsidRDefault="00D532A8">
      <w:pPr>
        <w:ind w:left="360"/>
      </w:pPr>
      <w:r>
        <w:t>[x] Conducted diagnostics and studies to contextualize SDGs at the local level</w:t>
      </w:r>
    </w:p>
    <w:p w14:paraId="70007DD7" w14:textId="77777777" w:rsidR="00521B41" w:rsidRDefault="00D532A8">
      <w:pPr>
        <w:ind w:left="360"/>
      </w:pPr>
      <w:r>
        <w:t>[ ] Enhanced capacities of staff in the local and regional governments</w:t>
      </w:r>
    </w:p>
    <w:p w14:paraId="5DE8A44E" w14:textId="77777777" w:rsidR="00521B41" w:rsidRDefault="00D532A8">
      <w:pPr>
        <w:ind w:left="360"/>
      </w:pPr>
      <w:r>
        <w:t>[ ] Supported development and implementation of territorial or local economic development approaches/strategies/policies</w:t>
      </w:r>
    </w:p>
    <w:p w14:paraId="40F42046" w14:textId="77777777" w:rsidR="00521B41" w:rsidRDefault="00D532A8">
      <w:pPr>
        <w:ind w:left="360"/>
      </w:pPr>
      <w:r>
        <w:t>[ ] Decentralized public finance management in relation to financing the SDGs</w:t>
      </w:r>
    </w:p>
    <w:p w14:paraId="7086F265" w14:textId="77777777" w:rsidR="00521B41" w:rsidRDefault="00D532A8">
      <w:pPr>
        <w:ind w:left="360"/>
      </w:pPr>
      <w:r>
        <w:t>[ ] Designed financial instruments to mobilize additional financial resources for the local level</w:t>
      </w:r>
    </w:p>
    <w:p w14:paraId="040E0C26" w14:textId="77777777" w:rsidR="00521B41" w:rsidRDefault="00D532A8">
      <w:pPr>
        <w:ind w:left="360"/>
      </w:pPr>
      <w:r>
        <w:t>[ ] Enhanced the monitoring and evaluation of SDGs at the sub-national level</w:t>
      </w:r>
    </w:p>
    <w:p w14:paraId="29F4C03C" w14:textId="77777777" w:rsidR="00521B41" w:rsidRDefault="00D532A8">
      <w:pPr>
        <w:ind w:left="360"/>
      </w:pPr>
      <w:r>
        <w:t>[x] Created hubs/coordination mechanisms with tools for tracking local outcome metrics and enhancing multi-stakeholder dialogues</w:t>
      </w:r>
    </w:p>
    <w:p w14:paraId="2D7F7AA4" w14:textId="77777777" w:rsidR="00521B41" w:rsidRDefault="00D532A8">
      <w:pPr>
        <w:ind w:left="360"/>
      </w:pPr>
      <w:r>
        <w:t>[x] Established or enhanced institutional arrangements to ensure adequate multi-level governance</w:t>
      </w:r>
    </w:p>
    <w:p w14:paraId="0E90ABF0" w14:textId="77777777" w:rsidR="00521B41" w:rsidRDefault="00D532A8">
      <w:pPr>
        <w:ind w:left="360"/>
      </w:pPr>
      <w:r>
        <w:t>[x] Other</w:t>
      </w:r>
    </w:p>
    <w:p w14:paraId="5F20DF2B" w14:textId="77777777" w:rsidR="00521B41" w:rsidRDefault="00D532A8">
      <w:pPr>
        <w:pStyle w:val="Heading3"/>
      </w:pPr>
      <w:r>
        <w:t>47. Provide descriptions and quantitative information, when possible, of how your JP supported localization of the SDGs as outlined above.</w:t>
      </w:r>
    </w:p>
    <w:p w14:paraId="0B1E4B51" w14:textId="77777777" w:rsidR="00521B41" w:rsidRDefault="00D532A8">
      <w:pPr>
        <w:spacing w:after="80"/>
      </w:pPr>
      <w:r>
        <w:t>The JP supported SDG localization primarily by contextualizing SDG financing challenges and solutions in Antigua and Barbuda and Saint Lucia, rather than through a clearly subnational local-government approach. It conducted diagnostics and studies that identified country-specific barriers to finance for women- and youth-owned MSMEs and digital finance governance gaps. It also raised awareness among entrepreneurs, financial institutions and government stakeholders through consultations, trainings and forums on inclusive finance, Gender Lens Investing and the Women's Empowerment Principles.</w:t>
      </w:r>
    </w:p>
    <w:p w14:paraId="243C1BF9" w14:textId="77777777" w:rsidR="00521B41" w:rsidRDefault="00D532A8">
      <w:pPr>
        <w:spacing w:after="80"/>
      </w:pPr>
      <w:r>
        <w:t>The JP created and strengthened coordination mechanisms, including National DFS Security Task Forces and inter-regulatory cooperation arrangements, to improve multi-stakeholder dialogue on digital finance security. It also supported practical local economic participation by piloting a blended finance model that reached 21 MSMEs in Antigua and Barbuda. The source report does not evidence decentralized public finance management, sub-national voluntary reviews, municipal finance instruments or direct capacity-building of local/regional governments as distinct from national institutions.</w:t>
      </w:r>
    </w:p>
    <w:p w14:paraId="3109E61E" w14:textId="77777777" w:rsidR="00521B41" w:rsidRDefault="00D532A8">
      <w:pPr>
        <w:pStyle w:val="Heading3"/>
      </w:pPr>
      <w:r>
        <w:t>48. Declaration/Confirmation</w:t>
      </w:r>
    </w:p>
    <w:sectPr w:rsidR="00521B41" w:rsidSect="00034616">
      <w:footerReference w:type="default" r:id="rId15"/>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E558" w14:textId="77777777" w:rsidR="006256DC" w:rsidRDefault="006256DC">
      <w:pPr>
        <w:spacing w:after="0" w:line="240" w:lineRule="auto"/>
      </w:pPr>
      <w:r>
        <w:separator/>
      </w:r>
    </w:p>
  </w:endnote>
  <w:endnote w:type="continuationSeparator" w:id="0">
    <w:p w14:paraId="054CBFB2" w14:textId="77777777" w:rsidR="006256DC" w:rsidRDefault="00625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BDA5" w14:textId="77777777" w:rsidR="00521B41" w:rsidRDefault="00D532A8">
    <w:pPr>
      <w:pStyle w:val="Footer"/>
      <w:jc w:val="center"/>
    </w:pPr>
    <w:r>
      <w:rPr>
        <w:color w:val="646464"/>
        <w:sz w:val="16"/>
      </w:rPr>
      <w:t>Completed Word Template | Joint SDG Fund JP - Innovative Finance for Underserved Groups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E9D6" w14:textId="77777777" w:rsidR="006256DC" w:rsidRDefault="006256DC">
      <w:pPr>
        <w:spacing w:after="0" w:line="240" w:lineRule="auto"/>
      </w:pPr>
      <w:r>
        <w:separator/>
      </w:r>
    </w:p>
  </w:footnote>
  <w:footnote w:type="continuationSeparator" w:id="0">
    <w:p w14:paraId="633C682E" w14:textId="77777777" w:rsidR="006256DC" w:rsidRDefault="00625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497A3C"/>
    <w:multiLevelType w:val="hybridMultilevel"/>
    <w:tmpl w:val="67D25E0E"/>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0B81901"/>
    <w:multiLevelType w:val="hybridMultilevel"/>
    <w:tmpl w:val="96B411F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4416162">
    <w:abstractNumId w:val="8"/>
  </w:num>
  <w:num w:numId="2" w16cid:durableId="367726359">
    <w:abstractNumId w:val="6"/>
  </w:num>
  <w:num w:numId="3" w16cid:durableId="166793616">
    <w:abstractNumId w:val="5"/>
  </w:num>
  <w:num w:numId="4" w16cid:durableId="1457064793">
    <w:abstractNumId w:val="4"/>
  </w:num>
  <w:num w:numId="5" w16cid:durableId="1793204175">
    <w:abstractNumId w:val="7"/>
  </w:num>
  <w:num w:numId="6" w16cid:durableId="1143351804">
    <w:abstractNumId w:val="3"/>
  </w:num>
  <w:num w:numId="7" w16cid:durableId="819661961">
    <w:abstractNumId w:val="2"/>
  </w:num>
  <w:num w:numId="8" w16cid:durableId="1592591451">
    <w:abstractNumId w:val="1"/>
  </w:num>
  <w:num w:numId="9" w16cid:durableId="930820144">
    <w:abstractNumId w:val="0"/>
  </w:num>
  <w:num w:numId="10" w16cid:durableId="1942296056">
    <w:abstractNumId w:val="9"/>
  </w:num>
  <w:num w:numId="11" w16cid:durableId="2034188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29D"/>
    <w:rsid w:val="000D1C76"/>
    <w:rsid w:val="0015074B"/>
    <w:rsid w:val="00225A25"/>
    <w:rsid w:val="0029639D"/>
    <w:rsid w:val="002C53BA"/>
    <w:rsid w:val="002E3683"/>
    <w:rsid w:val="00326F90"/>
    <w:rsid w:val="00433989"/>
    <w:rsid w:val="00470FF2"/>
    <w:rsid w:val="00521B41"/>
    <w:rsid w:val="00522A8D"/>
    <w:rsid w:val="00560083"/>
    <w:rsid w:val="0056773D"/>
    <w:rsid w:val="006256DC"/>
    <w:rsid w:val="0083103C"/>
    <w:rsid w:val="0097419B"/>
    <w:rsid w:val="009B19F6"/>
    <w:rsid w:val="00A44CA5"/>
    <w:rsid w:val="00AA1D8D"/>
    <w:rsid w:val="00B26ACA"/>
    <w:rsid w:val="00B47730"/>
    <w:rsid w:val="00C91B62"/>
    <w:rsid w:val="00CB0664"/>
    <w:rsid w:val="00CD4886"/>
    <w:rsid w:val="00D121DD"/>
    <w:rsid w:val="00D532A8"/>
    <w:rsid w:val="00E365A2"/>
    <w:rsid w:val="00FC693F"/>
    <w:rsid w:val="00FE5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052AB7"/>
  <w14:defaultImageDpi w14:val="300"/>
  <w15:docId w15:val="{60F11940-A471-4561-8A03-0CEFE88E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List Paragraph (numbered (a)),References,WB List Paragraph,Dot pt,F5 List Paragraph,List Paragraph1,No Spacing1,List Paragraph Char Char Char,Indicator Text,Numbered Para 1,Colorful List - Accent 11,Bullet 1,Bullet Points,Párrafo de lista"/>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Numbered Para 1 Char"/>
    <w:link w:val="ListParagraph"/>
    <w:uiPriority w:val="34"/>
    <w:qFormat/>
    <w:rsid w:val="00FE5688"/>
    <w:rPr>
      <w:rFonts w:ascii="Arial" w:eastAsia="Arial" w:hAnsi="Arial"/>
      <w:sz w:val="20"/>
    </w:rPr>
  </w:style>
  <w:style w:type="character" w:styleId="Hyperlink">
    <w:name w:val="Hyperlink"/>
    <w:basedOn w:val="DefaultParagraphFont"/>
    <w:uiPriority w:val="99"/>
    <w:unhideWhenUsed/>
    <w:rsid w:val="00522A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sec@govt.lc" TargetMode="External"/><Relationship Id="rId13" Type="http://schemas.openxmlformats.org/officeDocument/2006/relationships/hyperlink" Target="https://antiguanewsroom.com/undp-and-edp-join-forces-to-unlock-financial-access-for-msmes-targeting-women-and-youth-owned-businesses-across-antigua-and-barbuda/"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ibbean.unwomen.org/en/stories/news/2025/12/caribbean-companies-lead-the-way-in-antigua-barbuda-and-saint-lucia-ge-partnership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p/DIKHrnAzr6a/?hl=e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intville.ag/undp-and-edp-combine-to-deliver-financial-packages-to-smes-and-youth-owned-businesse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easterncaribbean.un.org/en/268552-joint-programme-launched-optimize-innovative-finance-underserved-groups-antigua-barbuda-and" TargetMode="External"/><Relationship Id="rId14" Type="http://schemas.openxmlformats.org/officeDocument/2006/relationships/hyperlink" Target="https://abstvradio.com/gender-equality-is-good-for-business-un-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Country xmlns="d9cf0e28-81d2-4dc7-8b10-820d80ed680d">B0482 - Barbados - Bridgetown</OfficeCountry>
    <DocumentStatus xmlns="d9cf0e28-81d2-4dc7-8b10-820d80ed680d">Final</DocumentStatus>
    <DocCoverageEndDate xmlns="d9cf0e28-81d2-4dc7-8b10-820d80ed680d">2026-02-28T05:00:00+00:00</DocCoverageEndDate>
    <TaxCatchAll xmlns="e91d5986-7c29-4ed1-8a54-b8fb378ed474" xsi:nil="true"/>
    <EventDate xmlns="d9cf0e28-81d2-4dc7-8b10-820d80ed680d" xsi:nil="true"/>
    <ProjectDocumentTypes xmlns="d9cf0e28-81d2-4dc7-8b10-820d80ed680d" xsi:nil="true"/>
    <FunctionalArea xmlns="d9cf0e28-81d2-4dc7-8b10-820d80ed680d" xsi:nil="true"/>
    <FileNameDescription xmlns="d9cf0e28-81d2-4dc7-8b10-820d80ed680d" xsi:nil="true"/>
    <ProjectNumber xmlns="d9cf0e28-81d2-4dc7-8b10-820d80ed680d">01002210</ProjectNumber>
    <DocumentType xmlns="d9cf0e28-81d2-4dc7-8b10-820d80ed680d">Donor Report</DocumentType>
    <Language xmlns="d9cf0e28-81d2-4dc7-8b10-820d80ed680d">English</Language>
    <AuthorName xmlns="d9cf0e28-81d2-4dc7-8b10-820d80ed680d">UNDP</AuthorName>
    <DocumentCategory xmlns="d9cf0e28-81d2-4dc7-8b10-820d80ed680d">Project</DocumentCategory>
    <OperatingUnit xmlns="d9cf0e28-81d2-4dc7-8b10-820d80ed680d">UNDP-BRB</OperatingUnit>
    <lcf76f155ced4ddcb4097134ff3c332f xmlns="d9cf0e28-81d2-4dc7-8b10-820d80ed680d">
      <Terms xmlns="http://schemas.microsoft.com/office/infopath/2007/PartnerControls"/>
    </lcf76f155ced4ddcb4097134ff3c332f>
    <FocusArea xmlns="d9cf0e28-81d2-4dc7-8b10-820d80ed680d" xsi:nil="true"/>
    <DocCoverageStartDate xmlns="d9cf0e28-81d2-4dc7-8b10-820d80ed680d">2024-02-01T05:00:00+00:00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25249C1-40AC-44C1-96A7-8019B2B3E5D1}"/>
</file>

<file path=customXml/itemProps3.xml><?xml version="1.0" encoding="utf-8"?>
<ds:datastoreItem xmlns:ds="http://schemas.openxmlformats.org/officeDocument/2006/customXml" ds:itemID="{97680A44-E306-412B-BD36-BD47D78B9565}"/>
</file>

<file path=customXml/itemProps4.xml><?xml version="1.0" encoding="utf-8"?>
<ds:datastoreItem xmlns:ds="http://schemas.openxmlformats.org/officeDocument/2006/customXml" ds:itemID="{97CA6E6A-75C6-4E5D-81D6-0EC1A383AB9C}"/>
</file>

<file path=docProps/app.xml><?xml version="1.0" encoding="utf-8"?>
<Properties xmlns="http://schemas.openxmlformats.org/officeDocument/2006/extended-properties" xmlns:vt="http://schemas.openxmlformats.org/officeDocument/2006/docPropsVTypes">
  <Template>Normal</Template>
  <TotalTime>22</TotalTime>
  <Pages>11</Pages>
  <Words>4923</Words>
  <Characters>32348</Characters>
  <Application>Microsoft Office Word</Application>
  <DocSecurity>0</DocSecurity>
  <Lines>548</Lines>
  <Paragraphs>280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Jason LaCorbiniere</cp:lastModifiedBy>
  <cp:revision>18</cp:revision>
  <dcterms:created xsi:type="dcterms:W3CDTF">2026-06-04T15:34:00Z</dcterms:created>
  <dcterms:modified xsi:type="dcterms:W3CDTF">2026-06-04T16:24:00Z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ies>
</file>